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1B" w:rsidRDefault="006907D9" w:rsidP="006907D9">
      <w:pPr>
        <w:jc w:val="both"/>
      </w:pPr>
      <w:bookmarkStart w:id="0" w:name="_GoBack"/>
      <w:bookmarkEnd w:id="0"/>
      <w:r>
        <w:t>I. INTRODUCCIÓN</w:t>
      </w:r>
      <w:proofErr w:type="gramStart"/>
      <w:r>
        <w:t>.—</w:t>
      </w:r>
      <w:proofErr w:type="gramEnd"/>
      <w:r>
        <w:t>II. ELEMENTOS CARACTERIZADORES DEL DEPÓSITO EN GARANTÍA (LEY 474 FN) Y SU REFLEJO EN LAS RESOLUCIONES JUDICIALES—III. EL DEPÓSITO EN GARANTÍA COMO GARANTÍA REAL</w:t>
      </w:r>
      <w:proofErr w:type="gramStart"/>
      <w:r>
        <w:t>.—</w:t>
      </w:r>
      <w:proofErr w:type="gramEnd"/>
      <w:r>
        <w:t>IV. EL DEPÓSITO EN GARANTÍA EN MANOS DEL ACREEDOR (LEY 474.1 EN): 1. COINCIDENCIA ENTRE DEPÓSITO EN GARANTÍA EN MANOS DEL ACREEDOR Y PRENDA IRREGULAR. 2. DISTINCIÓN ENTRE DEPÓSITO EN GARANTÍA EN MANOS DEL ACREEDOR Y PRENDA DE CRÉDITOS. 3. DISTINCIÓN CON LA EIDUCIA EN GARANTÍA. 4. RÉGIMEN JURÍDICO DEL DEPÓSITO EN GARANTÍA EN MANOS DEL ACREEDOR (LEY 474.1 EN): A) Fuentes, caracteres y régimen aplicable. B) Elementos del depósito en garantía: sujetos y objeto. C) Obligaciones derivadas del contrato. D) Depósito en garantía en manos del acreedor y terceros acreedores. E) Extinción del depósito en garantía</w:t>
      </w:r>
      <w:proofErr w:type="gramStart"/>
      <w:r>
        <w:t>.—</w:t>
      </w:r>
      <w:proofErr w:type="gramEnd"/>
      <w:r>
        <w:t>V. EL DEPÓSITO EN GARANTÍA EN MANOS DE TERCERO (LEY 474.II FN): 1. DISTINCIÓN DE EIGURAS AEINES. 2. PRINCIPALES CUESTIONES DE RÉGIMEN JURÍDICO: A) Particularidades en cuanto a sus elementos: el depositario en garantía. B) La obligación de entrega del depositario en garantía. C) Vicisitudes del depósito en garantía en manos de tercero</w:t>
      </w:r>
      <w:proofErr w:type="gramStart"/>
      <w:r>
        <w:t>.—</w:t>
      </w:r>
      <w:proofErr w:type="gramEnd"/>
      <w:r>
        <w:t>VI. ÁMBITO DE APLICACIÓN DE LA LEY 474 DE LA COMPILACIÓN</w:t>
      </w:r>
      <w:proofErr w:type="gramStart"/>
      <w:r>
        <w:t>.—</w:t>
      </w:r>
      <w:proofErr w:type="gramEnd"/>
      <w:r>
        <w:t>VII. CONCLUSIONES</w:t>
      </w:r>
      <w:proofErr w:type="gramStart"/>
      <w:r>
        <w:t>.—</w:t>
      </w:r>
      <w:proofErr w:type="gramEnd"/>
      <w:r>
        <w:t>BIBLIOGRAFÍA.</w:t>
      </w:r>
    </w:p>
    <w:sectPr w:rsidR="00AA4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D9"/>
    <w:rsid w:val="006907D9"/>
    <w:rsid w:val="00A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2018-01-23T12:32:00Z</dcterms:created>
  <dcterms:modified xsi:type="dcterms:W3CDTF">2018-01-23T12:32:00Z</dcterms:modified>
</cp:coreProperties>
</file>