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EA" w:rsidRDefault="005655BE" w:rsidP="005655BE">
      <w:pPr>
        <w:jc w:val="both"/>
      </w:pPr>
      <w:r>
        <w:t>SUMA</w:t>
      </w:r>
      <w:bookmarkStart w:id="0" w:name="_GoBack"/>
      <w:bookmarkEnd w:id="0"/>
      <w:r>
        <w:t>RIO: I. INTRODUCCIÓN. —II. ALIMENTOS DE LOS HIJOS MAYORES DE EDAD EN LOS PROCESOS DE NULIDAD, SEPARACIÓN Y DIVORCIO: 1. Requisitos. 2. Legitimación. 3. Extinción. 4. Atribución de la vivienda familiar. — III. ALIMENTOS DE LOS HIJOS MAYORES DE EDAD AFECTADOS POR DISCAPACIDAD. —IV. CONCLUSIONES.</w:t>
      </w:r>
    </w:p>
    <w:sectPr w:rsidR="00715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BE"/>
    <w:rsid w:val="005655BE"/>
    <w:rsid w:val="007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2018-01-26T08:35:00Z</dcterms:created>
  <dcterms:modified xsi:type="dcterms:W3CDTF">2018-01-26T08:36:00Z</dcterms:modified>
</cp:coreProperties>
</file>