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9A" w:rsidRDefault="00DF0C21" w:rsidP="00DF0C21">
      <w:pPr>
        <w:jc w:val="both"/>
      </w:pPr>
      <w:r>
        <w:t xml:space="preserve">I. SISTEMA DE FUENTES EN MATERIA DE INSCRIPCIÓN EN REGISTROS PÚBLICOS ESPAÑOLES DE </w:t>
      </w:r>
      <w:bookmarkStart w:id="0" w:name="_GoBack"/>
      <w:bookmarkEnd w:id="0"/>
      <w:r>
        <w:t>DOCUMENTOS EXTRANJEROS</w:t>
      </w:r>
      <w:proofErr w:type="gramStart"/>
      <w:r>
        <w:t>.—</w:t>
      </w:r>
      <w:proofErr w:type="gramEnd"/>
      <w:r>
        <w:t>II. INTERNACIONALIZACIÓN DE LAS RELACIONES JURÍDICO PRIVADAS, EN GENERAL, Y DEL TRAFICO JURÍDICO INMOBILIARIO, EN PARTICULAR. CONTEXTO Y EVOLUCIÓN HISTÓRICA. —III. ANALISIS DE LOS REQUISITOS PARA LA INSCRIPCIÓN DE LOS DOCUMENTOS PÚBLICOS EXTRANJEROS: 1. El carácter de «documento público» y la competencia del notario o autoridad interviniente. 2. El principio de equivalencia formal, funcional y probatoria entre el documento extranjero y el español: A) El requisito de tener fuerza en España con arreglo a las Leyes y de autenticidad formal. B) El requisito de la equivalencia formal y funcional. C) El requisito de la equivalencia de efectos: a) Los diversos modelos de transmisión del derecho de propiedad. b) La sentencia del Tribunal Supremo de 19 de junio de 2011. 3. El requisito de la validez del hecho o acto inscribible conforme al ordenamiento designado por las normas españolas de derecho internacional privado, y su no contradicción con el orden público español: A) El requisito de la validez del acto. B) La aplicación de las normas de conflicto españolas. C) La prueba del Derecho extranjero. D) La excepción del orden público y adaptación de la figura extranjera desconocida en España al Derecho español. 4. Asimilación al régimen de los documentos extrajudiciales de los documentos judiciales en ciertos casos.</w:t>
      </w:r>
    </w:p>
    <w:sectPr w:rsidR="001F4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21"/>
    <w:rsid w:val="001F4F9A"/>
    <w:rsid w:val="00D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2018-01-31T09:12:00Z</dcterms:created>
  <dcterms:modified xsi:type="dcterms:W3CDTF">2018-01-31T09:13:00Z</dcterms:modified>
</cp:coreProperties>
</file>