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6F" w:rsidRDefault="00805791" w:rsidP="00805791">
      <w:pPr>
        <w:jc w:val="both"/>
      </w:pPr>
      <w:bookmarkStart w:id="0" w:name="_GoBack"/>
      <w:r>
        <w:t>I. PREÁMBULO</w:t>
      </w:r>
      <w:proofErr w:type="gramStart"/>
      <w:r>
        <w:t>.—</w:t>
      </w:r>
      <w:proofErr w:type="gramEnd"/>
      <w:r>
        <w:t>II. EL IUS RETENTIONIS DESDE UNA VISIÓN PANORÁMICA EN EL CÓDIGO CIVIL, SUPUESTOS Y ARGUMENTACIÓN COMPARADA</w:t>
      </w:r>
      <w:proofErr w:type="gramStart"/>
      <w:r>
        <w:t>.—</w:t>
      </w:r>
      <w:proofErr w:type="gramEnd"/>
      <w:r>
        <w:t>III. RAZONAMIENTO PARA OBJETIVAR EL CRITERIO LEGITIMADOR DEL IUS RETENTIONIS QUE CONTRIBUYA AL TRATAMIENTO UNIFICADOR DE LA FIGURA</w:t>
      </w:r>
      <w:proofErr w:type="gramStart"/>
      <w:r>
        <w:t>.—</w:t>
      </w:r>
      <w:proofErr w:type="gramEnd"/>
      <w:r>
        <w:t>IV. CONCLUSIONES. —V. ÍNDICE DE RESOLUCIONES</w:t>
      </w:r>
      <w:proofErr w:type="gramStart"/>
      <w:r>
        <w:t>.—</w:t>
      </w:r>
      <w:proofErr w:type="gramEnd"/>
      <w:r>
        <w:t>VI. BIBLIOGRAFÍA.</w:t>
      </w:r>
      <w:bookmarkEnd w:id="0"/>
    </w:p>
    <w:sectPr w:rsidR="00083C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791"/>
    <w:rsid w:val="00083C6F"/>
    <w:rsid w:val="0080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2018-01-24T12:02:00Z</dcterms:created>
  <dcterms:modified xsi:type="dcterms:W3CDTF">2018-01-24T12:03:00Z</dcterms:modified>
</cp:coreProperties>
</file>