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B7" w:rsidRDefault="007F0938" w:rsidP="007F0938">
      <w:pPr>
        <w:jc w:val="both"/>
      </w:pPr>
      <w:bookmarkStart w:id="0" w:name="_GoBack"/>
      <w:r>
        <w:t>I. INTRODUCCIÓN.—II. LA VIOLENCIA INTRAFAMILIAR O DOMÉSTICA RESPECTO A DETERMINADOS MIEMBROS.—III. JURISPRUDENCIA CONTRADICTORIA DEL Tribunal SUPREMO Y DE LAS AUDIENCIAS PROVINCIALES.—IV. EL DERECHO DE VISITA EN LA LEGISLACIÓN FORAL.—V. LA AUTORIDAD JUDICIAL Y LA SUSPENSIÓN DEL Régimen DE VISITAS A POSTERIORI.—VI. LA LEY ORGÁNICA DE MODIFICACIÓN DEL SISTEMA DE PROTECCIÓN A LA INFANCIA Y A LA ADOLESCENCIA Y LAS ACTUACIONES DE PROTECCIÓN DE LOS PODERES PÚBLICOS.—VII. CONCLUSIONES.—VIII. BIBLIOGRAFIA.—IX. ÍNDICE DE SENTENCIAS CITADAS POR ORDEN CRONOLÓGICO.—X. LEGISLACIÓN CITADA</w:t>
      </w:r>
      <w:bookmarkEnd w:id="0"/>
      <w:r>
        <w:t>.</w:t>
      </w:r>
    </w:p>
    <w:sectPr w:rsidR="00766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8"/>
    <w:rsid w:val="00766EB7"/>
    <w:rsid w:val="007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2018-01-31T08:38:00Z</dcterms:created>
  <dcterms:modified xsi:type="dcterms:W3CDTF">2018-01-31T08:39:00Z</dcterms:modified>
</cp:coreProperties>
</file>