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47" w:rsidRDefault="00547622" w:rsidP="00547622">
      <w:pPr>
        <w:jc w:val="both"/>
      </w:pPr>
      <w:r>
        <w:t>I. AUTONOMÍA PRIVADA, LIBERTAD PARA TESTAR Y SUS CONSECUENCIAS EN LA PRETERICIÓN</w:t>
      </w:r>
      <w:proofErr w:type="gramStart"/>
      <w:r>
        <w:t>.—</w:t>
      </w:r>
      <w:proofErr w:type="gramEnd"/>
      <w:r>
        <w:t>II. LA PRETERICIÓN EN LOS DERECHOS FORALES: 1. El caso navarro: especialidades. 2. Cuestiones sobre la preterición en el País Vasco: A) Régimen general: a) Régimen especial del Valle de Ayala. 3. El supuesto en Aragón y el grado preferente. 4. Presupuestos para la preterición efectiva en el Código Civil catalán. 5. Baleares. Mallorca y Menorca. 6. El nuevo Derecho civil gallego</w:t>
      </w:r>
      <w:proofErr w:type="gramStart"/>
      <w:r>
        <w:t>.—</w:t>
      </w:r>
      <w:proofErr w:type="gramEnd"/>
      <w:r>
        <w:t>III. CUESTIONES SOBRE DERECHO COMPARADO: 1. EEUU. 2. Gran Bretaña: Inglaterra y Escocia. 3. Alemania. 4. Francia. 5. Italia</w:t>
      </w:r>
      <w:proofErr w:type="gramStart"/>
      <w:r>
        <w:t>.—</w:t>
      </w:r>
      <w:proofErr w:type="gramEnd"/>
      <w:r>
        <w:t>IV. REFLEXIO</w:t>
      </w:r>
      <w:bookmarkStart w:id="0" w:name="_GoBack"/>
      <w:bookmarkEnd w:id="0"/>
      <w:r>
        <w:t>NES CONCLUSIVAS</w:t>
      </w:r>
      <w:proofErr w:type="gramStart"/>
      <w:r>
        <w:t>.—</w:t>
      </w:r>
      <w:proofErr w:type="gramEnd"/>
      <w:r>
        <w:t>V. BIBLIOGRAFÍA.—VI. RESOLUCIONES CITADAS.</w:t>
      </w:r>
    </w:p>
    <w:sectPr w:rsidR="00093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622"/>
    <w:rsid w:val="00093847"/>
    <w:rsid w:val="0054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2018-01-24T09:21:00Z</dcterms:created>
  <dcterms:modified xsi:type="dcterms:W3CDTF">2018-01-24T09:22:00Z</dcterms:modified>
</cp:coreProperties>
</file>