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EE" w:rsidRDefault="005A305E" w:rsidP="005A305E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 xml:space="preserve">II. EL SUPUESTO DE HECHO DE LA SENTENCIA Y LAS CUESTIONES </w:t>
      </w:r>
      <w:bookmarkEnd w:id="0"/>
      <w:r>
        <w:t>PLANTEADAS</w:t>
      </w:r>
      <w:proofErr w:type="gramStart"/>
      <w:r>
        <w:t>.—</w:t>
      </w:r>
      <w:proofErr w:type="gramEnd"/>
      <w:r>
        <w:t>III. EL RÉGIMEN DE LA SOLIDARIDAD PASIVA DESDE LA PERSPECTIVA DEL PROMOTOR: 1. LA RESPONSABILIDAD SOLIDARIA DEL PROMOTOR EN LA RELACIÓN EXTERNA FRENTE AL PROPIETARIO. 2. EL RÉGIMEN DE LA SOLIDARIDAD PASIVA DEL PROMOTOR EN LA RELACIÓN INTERNA CON LOS DEMÁS AGENTES CONDENADOS, Y SU INDEMNIDAD</w:t>
      </w:r>
      <w:proofErr w:type="gramStart"/>
      <w:r>
        <w:t>.—</w:t>
      </w:r>
      <w:proofErr w:type="gramEnd"/>
      <w:r>
        <w:t>IV. LA INEFICACIA DE LA EXCEPCIÓN DE COSA JUZGADA MATERIAL EN LA VÍA DE REGRESO: 1. LA FALTA DE IDENTIDAD ENTRE PETITUM Y CAUSA PETENDI. 2. LA DESAUTORIZACLÓN DE LA DOCTRINA CONTENIDA EN LA SENTENCIA DEL TRIBUNAL SUPREMO DE 13 DE MARZO DE 2007</w:t>
      </w:r>
      <w:proofErr w:type="gramStart"/>
      <w:r>
        <w:t>.—</w:t>
      </w:r>
      <w:proofErr w:type="gramEnd"/>
      <w:r>
        <w:t>V. CONCLUSIONES.—VI. ÍNDICE DE RESOLUCIONES CITADAS</w:t>
      </w:r>
      <w:proofErr w:type="gramStart"/>
      <w:r>
        <w:t>.—</w:t>
      </w:r>
      <w:proofErr w:type="gramEnd"/>
      <w:r>
        <w:t>VII. BIBLIOGRAFÍA.</w:t>
      </w:r>
    </w:p>
    <w:sectPr w:rsidR="00F53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5E"/>
    <w:rsid w:val="005A305E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2018-01-23T11:46:00Z</dcterms:created>
  <dcterms:modified xsi:type="dcterms:W3CDTF">2018-01-23T11:46:00Z</dcterms:modified>
</cp:coreProperties>
</file>