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A" w:rsidRDefault="00E17153" w:rsidP="00E17153">
      <w:pPr>
        <w:jc w:val="both"/>
      </w:pPr>
      <w:r>
        <w:t xml:space="preserve">I. </w:t>
      </w:r>
      <w:bookmarkStart w:id="0" w:name="_GoBack"/>
      <w:bookmarkEnd w:id="0"/>
      <w:r>
        <w:t>INTRODUCCIÓN: LA PROBLEMÁTICA QUE AUN HOY SUSCITA EL LLAMADO FUERO DEL BAYLIO</w:t>
      </w:r>
      <w:proofErr w:type="gramStart"/>
      <w:r>
        <w:t>.—</w:t>
      </w:r>
      <w:proofErr w:type="gramEnd"/>
      <w:r>
        <w:t xml:space="preserve">II. LA CONSIDERACIÓN —AUN HOY— DEL FUERO DEL BAYLIO COMO NORMA CONSUETUDINARIA: Y SU PARENTESCO CON LA CARTA DE MITAD PORTUGUESA. 1. La Real Cédula de Carlos III, de 20 de diciembre de 1778, y la Novísima Recopilación, de 15 de julio de 1805: el Fuero del </w:t>
      </w:r>
      <w:proofErr w:type="spellStart"/>
      <w:r>
        <w:t>Baylío</w:t>
      </w:r>
      <w:proofErr w:type="spellEnd"/>
      <w:r>
        <w:t xml:space="preserve"> y la Carta de Mitad como costumbres —simplemente— reconocidas en aquellos textos. 2. La posibilidad de probar el contenido del Fuero del </w:t>
      </w:r>
      <w:proofErr w:type="spellStart"/>
      <w:r>
        <w:t>Baylío</w:t>
      </w:r>
      <w:proofErr w:type="spellEnd"/>
      <w:r>
        <w:t xml:space="preserve"> extremeño por su hermanamiento con la Carta de Mitad portuguesa, desde su interpretación actualizada; y la consiguiente determinación del momento en que comienza a regir la comunidad universal en que consiste el Fuero del </w:t>
      </w:r>
      <w:proofErr w:type="spellStart"/>
      <w:r>
        <w:t>Baylío</w:t>
      </w:r>
      <w:proofErr w:type="spellEnd"/>
      <w:r>
        <w:t xml:space="preserve">. 3. La aplicación —supletoria o analógica— del régimen de gananciales contenido en el Código Civil como mecanismo de integración del Fuero del </w:t>
      </w:r>
      <w:proofErr w:type="spellStart"/>
      <w:r>
        <w:t>Baylío</w:t>
      </w:r>
      <w:proofErr w:type="spellEnd"/>
      <w:r>
        <w:t xml:space="preserve">; y, de nuevo, la determinación inicial de su vigencia como comunidad universal. </w:t>
      </w:r>
      <w:proofErr w:type="gramStart"/>
      <w:r>
        <w:t>una</w:t>
      </w:r>
      <w:proofErr w:type="gramEnd"/>
      <w:r>
        <w:t xml:space="preserve"> cuestión —todavía— huérfana de verdadera jurisprudencia —foral—.—III. BIBLIOGRAFÍA (ESPECIFICA SOBRE EL FUERO DEL BAYLIO).</w:t>
      </w:r>
    </w:p>
    <w:sectPr w:rsidR="003D1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53"/>
    <w:rsid w:val="003D125A"/>
    <w:rsid w:val="00E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2018-01-29T09:03:00Z</dcterms:created>
  <dcterms:modified xsi:type="dcterms:W3CDTF">2018-01-29T09:03:00Z</dcterms:modified>
</cp:coreProperties>
</file>