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31C" w:rsidRDefault="009D2267" w:rsidP="009D2267">
      <w:pPr>
        <w:jc w:val="both"/>
      </w:pPr>
      <w:bookmarkStart w:id="0" w:name="_GoBack"/>
      <w:bookmarkEnd w:id="0"/>
      <w:r>
        <w:t>SUMARIO: I. INTRODUCCIÓN. —II. LA PERSONA JURÍDICA: PARTE GENERAL. A) DEFINICIÓN. B) COMIENZO DE LA EXISTENCIA. C) PERSONALIDAD DIFERENCIADA. D) INOPONIBILIDAD DE LA PERSONALIDAD JURÍDICA</w:t>
      </w:r>
      <w:proofErr w:type="gramStart"/>
      <w:r>
        <w:t>.—</w:t>
      </w:r>
      <w:proofErr w:type="gramEnd"/>
      <w:r>
        <w:t>III. PERSONAS JURÍDICAS EN PARTICULAR. A) BREVE REFERENCIA A LAS ASOCIACIONES. B) BREVE REFERENCIA A LAS FUNDACIONES.</w:t>
      </w:r>
    </w:p>
    <w:sectPr w:rsidR="007743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67"/>
    <w:rsid w:val="0077431C"/>
    <w:rsid w:val="009D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2018-01-31T08:45:00Z</dcterms:created>
  <dcterms:modified xsi:type="dcterms:W3CDTF">2018-01-31T08:46:00Z</dcterms:modified>
</cp:coreProperties>
</file>