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AF" w:rsidRDefault="0084539C" w:rsidP="0084539C">
      <w:pPr>
        <w:jc w:val="both"/>
      </w:pPr>
      <w:bookmarkStart w:id="0" w:name="_GoBack"/>
      <w:r>
        <w:t>I. CONSIDERACIONES PREVIAS</w:t>
      </w:r>
      <w:proofErr w:type="gramStart"/>
      <w:r>
        <w:t>.—</w:t>
      </w:r>
      <w:proofErr w:type="gramEnd"/>
      <w:r>
        <w:t xml:space="preserve">II. EL NOMBRE DE LA PERSONA: 1. Concepto y naturaleza. 2. </w:t>
      </w:r>
      <w:bookmarkEnd w:id="0"/>
      <w:r>
        <w:t>Regulación legal. 3. La imposición del nombre. 4. Límites a la libertad de elección del nombre propio. 5. Modificación o cambio de nombre propio. 6. Conexión entre el derecho al honor y a la propia imagen y el derecho al nombre</w:t>
      </w:r>
      <w:proofErr w:type="gramStart"/>
      <w:r>
        <w:t>.—</w:t>
      </w:r>
      <w:proofErr w:type="gramEnd"/>
      <w:r>
        <w:t>III. LA ATRIBUCIÓN DE LOS APELLIDOS: 1. La determinación de los apellidos. 2. Modificación o cambio de los apellidos que consten en el Registro Civil</w:t>
      </w:r>
      <w:proofErr w:type="gramStart"/>
      <w:r>
        <w:t>.—</w:t>
      </w:r>
      <w:proofErr w:type="gramEnd"/>
      <w:r>
        <w:t>IV. BIBLIOGRAFÍA</w:t>
      </w:r>
      <w:proofErr w:type="gramStart"/>
      <w:r>
        <w:t>.—</w:t>
      </w:r>
      <w:proofErr w:type="gramEnd"/>
      <w:r>
        <w:t>VI. ÍNDICE DE RESOLUCIONES CITADAS.</w:t>
      </w:r>
    </w:p>
    <w:sectPr w:rsidR="00030A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9C"/>
    <w:rsid w:val="00030AAF"/>
    <w:rsid w:val="0084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2018-01-23T11:59:00Z</dcterms:created>
  <dcterms:modified xsi:type="dcterms:W3CDTF">2018-01-23T12:00:00Z</dcterms:modified>
</cp:coreProperties>
</file>