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1" w:rsidRDefault="004E2DB3" w:rsidP="004E2DB3">
      <w:pPr>
        <w:jc w:val="both"/>
      </w:pPr>
      <w:bookmarkStart w:id="0" w:name="_GoBack"/>
      <w:bookmarkEnd w:id="0"/>
      <w:r>
        <w:t>I. PROEMIO</w:t>
      </w:r>
      <w:proofErr w:type="gramStart"/>
      <w:r>
        <w:t>.—</w:t>
      </w:r>
      <w:proofErr w:type="gramEnd"/>
      <w:r>
        <w:t>II. IDEARIO ANARQUISTA-PRO INFANTA DEL DECRETO DE 10 DE ABRIL DE 1937</w:t>
      </w:r>
      <w:proofErr w:type="gramStart"/>
      <w:r>
        <w:t>.—</w:t>
      </w:r>
      <w:proofErr w:type="gramEnd"/>
      <w:r>
        <w:t>III. PAPEL DE LA COMISIÓN JURÍDICA ASESORA. 1. Promotores del derecho y afines al ministerio de justicia en el ámbito del derecho civil</w:t>
      </w:r>
      <w:proofErr w:type="gramStart"/>
      <w:r>
        <w:t>.—</w:t>
      </w:r>
      <w:proofErr w:type="gramEnd"/>
      <w:r>
        <w:t>IV. LA ADOPCIÓN EN EL EXTRANJERO Y POR EXTRANJEROS</w:t>
      </w:r>
      <w:proofErr w:type="gramStart"/>
      <w:r>
        <w:t>.—</w:t>
      </w:r>
      <w:proofErr w:type="gramEnd"/>
      <w:r>
        <w:t>V. LA SIGNIFICACIÓN DEL DECRETO DE 10 ABRIL DE 1937 Y LA IMPORTANCIA DE JUAN GARCÍA OLIVER. 1. Ponencia al congreso de la CNT sobre el nuevo derecho a la adopción. 2. El eco de los pasos. 3. El decreto y la visión de la prensa. —VI. LA BASE NORMATIVA DE LA MODIFICACIÓN DEL CÓDIGO CIVIL EN MATERIA DE ADOPCIÓN</w:t>
      </w:r>
      <w:proofErr w:type="gramStart"/>
      <w:r>
        <w:t>.—</w:t>
      </w:r>
      <w:proofErr w:type="gramEnd"/>
      <w:r>
        <w:t>VII. LA REGLA DE CAPACIDAD Y CONDICIONES LEGALES REQUERIDAS PARA ADOPTAR: ADOPTANTE Y ADOPTADO</w:t>
      </w:r>
      <w:proofErr w:type="gramStart"/>
      <w:r>
        <w:t>.—</w:t>
      </w:r>
      <w:proofErr w:type="gramEnd"/>
      <w:r>
        <w:t>VIII. LA ADOPCIÓN INTERNACIONAL EN LA MODIFICACIÓN DEL CÓDIGO CIVIL</w:t>
      </w:r>
      <w:proofErr w:type="gramStart"/>
      <w:r>
        <w:t>.—</w:t>
      </w:r>
      <w:proofErr w:type="gramEnd"/>
      <w:r>
        <w:t>VII. INTERDICCIÓN Y PROHIBICIONES A LA ADOPCIÓN</w:t>
      </w:r>
      <w:proofErr w:type="gramStart"/>
      <w:r>
        <w:t>.—</w:t>
      </w:r>
      <w:proofErr w:type="gramEnd"/>
      <w:r>
        <w:t xml:space="preserve">IX. EFECTOS DE LA ADOPCIÓN. 1. El uso del apellido del adoptante. 2. La obligación alimenticia. 3. Derechos sucesorios y status </w:t>
      </w:r>
      <w:proofErr w:type="spellStart"/>
      <w:r>
        <w:t>familiae</w:t>
      </w:r>
      <w:proofErr w:type="spellEnd"/>
      <w:r>
        <w:t>. — X. TRAMITACIÓN Y REGISTRO DEL EXPEDIENTE ADOPTIVO</w:t>
      </w:r>
      <w:proofErr w:type="gramStart"/>
      <w:r>
        <w:t>.—</w:t>
      </w:r>
      <w:proofErr w:type="gramEnd"/>
      <w:r>
        <w:t>XI. ADOPCIONES DE HUÉRFANOS, DESAMPARADOS Y PROHIJADOS POR LA ASISTENCIA SOCIAL</w:t>
      </w:r>
      <w:proofErr w:type="gramStart"/>
      <w:r>
        <w:t>.—</w:t>
      </w:r>
      <w:proofErr w:type="gramEnd"/>
      <w:r>
        <w:t>XI. REVOCABILIDAD DE LA ADOPCIÓN</w:t>
      </w:r>
      <w:proofErr w:type="gramStart"/>
      <w:r>
        <w:t>.—</w:t>
      </w:r>
      <w:proofErr w:type="gramEnd"/>
      <w:r>
        <w:t>XII. EL DECRETO REPUBLICANO Y EL DERECHO COMPARADO: INFLUENCIA Y REPERCUSIÓN.</w:t>
      </w:r>
    </w:p>
    <w:sectPr w:rsidR="00862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B3"/>
    <w:rsid w:val="004E2DB3"/>
    <w:rsid w:val="008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2018-01-24T12:06:00Z</dcterms:created>
  <dcterms:modified xsi:type="dcterms:W3CDTF">2018-01-24T12:07:00Z</dcterms:modified>
</cp:coreProperties>
</file>