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D2" w:rsidRDefault="00307DCD" w:rsidP="00307DCD">
      <w:pPr>
        <w:jc w:val="both"/>
      </w:pPr>
      <w:bookmarkStart w:id="0" w:name="_GoBack"/>
      <w:r>
        <w:t xml:space="preserve">I. INTRODUCCIÓN.-II. LA SEGURIDAD JURÍDICA INMOBILIARIA.-III. </w:t>
      </w:r>
      <w:proofErr w:type="gramStart"/>
      <w:r>
        <w:t>la</w:t>
      </w:r>
      <w:proofErr w:type="gramEnd"/>
      <w:r>
        <w:t xml:space="preserve"> ordenación territorial </w:t>
      </w:r>
      <w:bookmarkEnd w:id="0"/>
      <w:r>
        <w:t>como fuente DE EXTERNALIDADES NEGATIVAS QUE LA PUBLICIDAD REGISTRAL NO REDUCE.-IV. VÍAS DE SOLUCIÓN DE LAS EXTERNALIDADES POR LÍMITES TERRITORIALES: 1. Soluciones ex post facto. 2. Soluciones EX ANTE. — V. MECANISMOS DE PUBLICIDAD DE LOS LÍMITES AL DOMINIO: 1. Infraestructura de datos espaciales de España. 2. Asociación de información territorial al Registro de la Propiedad</w:t>
      </w:r>
      <w:proofErr w:type="gramStart"/>
      <w:r>
        <w:t>.—</w:t>
      </w:r>
      <w:proofErr w:type="gramEnd"/>
      <w:r>
        <w:t>VI. EVOLUCIÓN DEL SISTEMA DE VINCULACIÓN GRÁFICA DE LA INFORMACIÓN TERRITORIAL: 1. El modelo original de la Ley 24/2001. 2. El nuevo paradigma: la Ley 13/2015: 2.1. Constancia registral de la calificación territorial. 2.2. Constancia informática de la información territorial georreferenciada. -VII. INFORMACIÓN TERRITORIAL GEORREFERENCIADA EN LA LEGISLACIÓN SECTORIAL</w:t>
      </w:r>
      <w:proofErr w:type="gramStart"/>
      <w:r>
        <w:t>.—</w:t>
      </w:r>
      <w:proofErr w:type="gramEnd"/>
      <w:r>
        <w:t>VIII. CONCLUSIONES.-JURISPRUDENCIA CITADA. —BIBLIOGRAFÍA.</w:t>
      </w:r>
    </w:p>
    <w:sectPr w:rsidR="00121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CD"/>
    <w:rsid w:val="001212D2"/>
    <w:rsid w:val="0030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2018-01-23T12:34:00Z</dcterms:created>
  <dcterms:modified xsi:type="dcterms:W3CDTF">2018-01-23T12:36:00Z</dcterms:modified>
</cp:coreProperties>
</file>