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2" w:rsidRDefault="006A261C" w:rsidP="006A261C">
      <w:pPr>
        <w:jc w:val="both"/>
      </w:pPr>
      <w:bookmarkStart w:id="0" w:name="_GoBack"/>
      <w:bookmarkEnd w:id="0"/>
      <w:r>
        <w:t>I. INTRODUCCIÓN</w:t>
      </w:r>
      <w:proofErr w:type="gramStart"/>
      <w:r>
        <w:t>.—</w:t>
      </w:r>
      <w:proofErr w:type="gramEnd"/>
      <w:r>
        <w:t>II. LAS CLÁUSULAS SUELO COMO CONDICIONES GENERALES</w:t>
      </w:r>
      <w:proofErr w:type="gramStart"/>
      <w:r>
        <w:t>.—</w:t>
      </w:r>
      <w:proofErr w:type="gramEnd"/>
      <w:r>
        <w:t>III. PARÁMETROS ESTABLECIDOS PARA FISCALIZAR LA COMERCIALIZACIÓN DE LAS CLÁUSULAS SUELO</w:t>
      </w:r>
      <w:proofErr w:type="gramStart"/>
      <w:r>
        <w:t>.—</w:t>
      </w:r>
      <w:proofErr w:type="gramEnd"/>
      <w:r>
        <w:t>IV. APLICACIÓN DEL CONTROL DE TRANSPARENCIA AL ADHERENTE NO CONSUMIDOR Y LA STS DE 3 DE JUNIO DE 2016</w:t>
      </w:r>
      <w:proofErr w:type="gramStart"/>
      <w:r>
        <w:t>.—</w:t>
      </w:r>
      <w:proofErr w:type="gramEnd"/>
      <w:r>
        <w:t>V. CONCLUSIONES.—VI. BIBLIOGRAFÍA. —VII. JURISPRUDENCIA CONSULTADA.</w:t>
      </w:r>
    </w:p>
    <w:sectPr w:rsidR="007B4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1C"/>
    <w:rsid w:val="006A261C"/>
    <w:rsid w:val="007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2018-01-24T08:45:00Z</dcterms:created>
  <dcterms:modified xsi:type="dcterms:W3CDTF">2018-01-24T08:46:00Z</dcterms:modified>
</cp:coreProperties>
</file>