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CF" w:rsidRDefault="00990E97" w:rsidP="00990E97">
      <w:pPr>
        <w:jc w:val="both"/>
      </w:pPr>
      <w:r>
        <w:t>I. LA COMUNICACIÓN DE LOS CRÉDITOS: 1. La naturaleza y la necesidad de la comunicación. 2. E l emplazamiento para la comunicación de créditos. 3. Medios de comunicación. 4. El tiempo para la comunicación. 5. Los efectos de la comunicación. 6. Acreedores obligados a comunicar: A) La comunicación del crédito del acreedor principal cuando está garantizado con fianza. B) La comunicación del crédito del fiador</w:t>
      </w:r>
      <w:bookmarkStart w:id="0" w:name="_GoBack"/>
      <w:bookmarkEnd w:id="0"/>
    </w:p>
    <w:sectPr w:rsidR="008A3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97"/>
    <w:rsid w:val="008A38CF"/>
    <w:rsid w:val="0099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2018-01-31T09:36:00Z</dcterms:created>
  <dcterms:modified xsi:type="dcterms:W3CDTF">2018-01-31T09:37:00Z</dcterms:modified>
</cp:coreProperties>
</file>