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58" w:rsidRDefault="00672AF4" w:rsidP="00672AF4">
      <w:pPr>
        <w:jc w:val="both"/>
      </w:pPr>
      <w:r>
        <w:t xml:space="preserve">SU M A R </w:t>
      </w:r>
      <w:proofErr w:type="gramStart"/>
      <w:r>
        <w:t>IO :</w:t>
      </w:r>
      <w:proofErr w:type="gramEnd"/>
      <w:r>
        <w:t xml:space="preserve"> I. INTRODUCCIÓN: EL PROYECTO ARGENTINO DE UNIFICACIÓN Y LA NECESIDAD DE MODIFICAR LA RESPONSABILIDAD CIVIL POR DAÑOS.—II. UNIFICACIÓN DEL TRATAMIENTO DE LA RESPONSABILIDAD CONTRACTUAL Y DE LA EXTRACONTRACTUAL. —III. FUNCIONES DE LA RESPONSABILIDAD CIVIL EN EL PROYECTO ARGENTINO DE UNIFICACIÓN: LA INTRODUCCIÓN DE UNA FUNCIÓN PUNITIVA</w:t>
      </w:r>
      <w:proofErr w:type="gramStart"/>
      <w:r>
        <w:t>.—</w:t>
      </w:r>
      <w:proofErr w:type="gramEnd"/>
      <w:r>
        <w:t>IV. FACTORES DE ATRIBUCIÓN DE LA RESPONSABILIDAD CIVIL: EL RESURGIMIENTO DE LA «CULPA»</w:t>
      </w:r>
      <w:proofErr w:type="gramStart"/>
      <w:r>
        <w:t>.—</w:t>
      </w:r>
      <w:proofErr w:type="gramEnd"/>
      <w:r>
        <w:t>V. LA RELACIÓN DE CAUSALIDAD.—VI. DAÑOS RESARCIBLES E INDEMNIZACIÓN. —VII. LA POLÉMICA REGULACIÓN DE LA RESPONSABILIDAD CIVIL DEL ESTADO EN EL PROYECTO DE 2012</w:t>
      </w:r>
      <w:proofErr w:type="gramStart"/>
      <w:r>
        <w:t>.—</w:t>
      </w:r>
      <w:proofErr w:type="gramEnd"/>
      <w:r>
        <w:t>VIII. RESPONSABILIDAD POR EL HECHO DE TERCERO: LA RESPONSABILIDAD DE LOS PADRES O GUARDADORES POR ACTOS DAÑOSOS DE SUS HIJOS O PERSONAS SUJETAS A GUARDA</w:t>
      </w:r>
      <w:proofErr w:type="gramStart"/>
      <w:r>
        <w:t>.—</w:t>
      </w:r>
      <w:proofErr w:type="gramEnd"/>
      <w:r>
        <w:t>IX. A MODO DE CONCLUSIÓN: LOS CUATRO PILARES DEL NUEVO DERECHO DE DAÑOS ARGENTINO</w:t>
      </w:r>
      <w:proofErr w:type="gramStart"/>
      <w:r>
        <w:t>.—</w:t>
      </w:r>
      <w:proofErr w:type="gramEnd"/>
      <w:r>
        <w:t>X. ÍNDICE DE RESOLUCIONES CITADAS.—XI. BIBL</w:t>
      </w:r>
      <w:r>
        <w:t>IOGRAFÍA.</w:t>
      </w:r>
      <w:bookmarkStart w:id="0" w:name="_GoBack"/>
      <w:bookmarkEnd w:id="0"/>
    </w:p>
    <w:sectPr w:rsidR="007212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F4"/>
    <w:rsid w:val="00672AF4"/>
    <w:rsid w:val="0072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2018-02-14T09:08:00Z</dcterms:created>
  <dcterms:modified xsi:type="dcterms:W3CDTF">2018-02-14T09:09:00Z</dcterms:modified>
</cp:coreProperties>
</file>