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0" w:rsidRDefault="00664060" w:rsidP="0066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>
        <w:rPr>
          <w:rFonts w:ascii="Times New Roman" w:hAnsi="Times New Roman" w:cs="Times New Roman"/>
          <w:sz w:val="24"/>
          <w:szCs w:val="24"/>
        </w:rPr>
        <w:t>I. CONSIDERACIONES INICIALES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II. LA APLICACIÓN DEL ARTÍCULO 949 DEL CÓDIGO DE COMERCIO AL PLAZO DE PRESCRIPCIÓN DE TODAS LAS ACCIONES DE RESPONSABILIDAD CONTRA LOS ADMINISTRADORES: 1. Formulación y argumentación de la tesis. 2. Análisis crítico de la tesis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III. LA VIRTUALIDAD DEL CESE DE LOS ADMINISTRADORES EN EL CÓMPUTO DEL PLAZO DE PRESCRIPCIÓN: 1. Aclaración preliminar. 2. El concepto y las modalidades de cese. 3. La distinción jurisprudencial entre el </w:t>
      </w:r>
      <w:r>
        <w:rPr>
          <w:rFonts w:ascii="Times New Roman" w:hAnsi="Times New Roman" w:cs="Times New Roman"/>
          <w:iCs/>
          <w:sz w:val="24"/>
          <w:szCs w:val="24"/>
        </w:rPr>
        <w:t xml:space="preserve">cese formal </w:t>
      </w:r>
      <w:r>
        <w:rPr>
          <w:rFonts w:ascii="Times New Roman" w:hAnsi="Times New Roman" w:cs="Times New Roman"/>
          <w:sz w:val="24"/>
          <w:szCs w:val="24"/>
        </w:rPr>
        <w:t xml:space="preserve">y el </w:t>
      </w:r>
      <w:r>
        <w:rPr>
          <w:rFonts w:ascii="Times New Roman" w:hAnsi="Times New Roman" w:cs="Times New Roman"/>
          <w:iCs/>
          <w:sz w:val="24"/>
          <w:szCs w:val="24"/>
        </w:rPr>
        <w:t xml:space="preserve">cese efectivo </w:t>
      </w:r>
      <w:r>
        <w:rPr>
          <w:rFonts w:ascii="Times New Roman" w:hAnsi="Times New Roman" w:cs="Times New Roman"/>
          <w:sz w:val="24"/>
          <w:szCs w:val="24"/>
        </w:rPr>
        <w:t xml:space="preserve">en el cargo de administrador. 4. La fijación del cese como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quo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la aplicación del criterio de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actio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nata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IV. LA </w:t>
      </w:r>
      <w:r>
        <w:rPr>
          <w:rFonts w:ascii="Times New Roman" w:hAnsi="Times New Roman" w:cs="Times New Roman"/>
          <w:iCs/>
          <w:sz w:val="24"/>
          <w:szCs w:val="24"/>
        </w:rPr>
        <w:t xml:space="preserve">DOCTRINA LEGAL </w:t>
      </w:r>
      <w:r>
        <w:rPr>
          <w:rFonts w:ascii="Times New Roman" w:hAnsi="Times New Roman" w:cs="Times New Roman"/>
          <w:sz w:val="24"/>
          <w:szCs w:val="24"/>
        </w:rPr>
        <w:t xml:space="preserve">ACERCA DE LA INOPONIBILIDAD DEL CESE NO INSCRITO A EFECTOS DEL INICIO DEL CÓMPUTO DEL PLAZO DE PRESCRIPCIÓN DE LAS ACCIONES DE RESPONSABILIDAD: 1. La formulación de la </w:t>
      </w:r>
      <w:r>
        <w:rPr>
          <w:rFonts w:ascii="Times New Roman" w:hAnsi="Times New Roman" w:cs="Times New Roman"/>
          <w:iCs/>
          <w:sz w:val="24"/>
          <w:szCs w:val="24"/>
        </w:rPr>
        <w:t xml:space="preserve">doctrina legal: </w:t>
      </w:r>
      <w:r>
        <w:rPr>
          <w:rFonts w:ascii="Times New Roman" w:hAnsi="Times New Roman" w:cs="Times New Roman"/>
          <w:sz w:val="24"/>
          <w:szCs w:val="24"/>
        </w:rPr>
        <w:t xml:space="preserve">los argumentos aducidos. 2. El análisis crítico de la </w:t>
      </w:r>
      <w:r>
        <w:rPr>
          <w:rFonts w:ascii="Times New Roman" w:hAnsi="Times New Roman" w:cs="Times New Roman"/>
          <w:iCs/>
          <w:sz w:val="24"/>
          <w:szCs w:val="24"/>
        </w:rPr>
        <w:t>doctrina legal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2.1.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perspectiva funcional: la congruencia de la tesis. </w:t>
      </w:r>
      <w:r>
        <w:rPr>
          <w:rFonts w:ascii="Times New Roman" w:hAnsi="Times New Roman" w:cs="Times New Roman"/>
          <w:i/>
          <w:sz w:val="24"/>
          <w:szCs w:val="24"/>
        </w:rPr>
        <w:t xml:space="preserve">2.2.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perspectiva teleológica: la aproximación al criterio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2.3.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perspectiva jurídico-registral: el alcance del principio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oponibilidad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2.3.1. Las inexactitudes en la formulación de la </w:t>
      </w:r>
      <w:r>
        <w:rPr>
          <w:rFonts w:ascii="Times New Roman" w:hAnsi="Times New Roman" w:cs="Times New Roman"/>
          <w:iCs/>
          <w:sz w:val="24"/>
          <w:szCs w:val="24"/>
        </w:rPr>
        <w:t>doctrina legal</w:t>
      </w:r>
      <w:r>
        <w:rPr>
          <w:rFonts w:ascii="Times New Roman" w:hAnsi="Times New Roman" w:cs="Times New Roman"/>
          <w:sz w:val="24"/>
          <w:szCs w:val="24"/>
        </w:rPr>
        <w:t xml:space="preserve">. 2.3.2. La posible extralimitación en el alcance del principio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oponibilidad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2.3.3. El supuesto de la responsabilidad por deudas sociales: planteamiento. 2.3.4. La buena fe del demandante. 2.3.5. La interpretación restrictiva de la prescripción. 2.3.6. El aislamiento de la </w:t>
      </w:r>
      <w:r>
        <w:rPr>
          <w:rFonts w:ascii="Times New Roman" w:hAnsi="Times New Roman" w:cs="Times New Roman"/>
          <w:iCs/>
          <w:sz w:val="24"/>
          <w:szCs w:val="24"/>
        </w:rPr>
        <w:t xml:space="preserve">doctrina legal </w:t>
      </w:r>
      <w:r>
        <w:rPr>
          <w:rFonts w:ascii="Times New Roman" w:hAnsi="Times New Roman" w:cs="Times New Roman"/>
          <w:sz w:val="24"/>
          <w:szCs w:val="24"/>
        </w:rPr>
        <w:t>en el conjunto normativo del Derecho de sociedades español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V. CONCLUSIONES.—VI. BIBLIOGRAFÍA.</w:t>
      </w:r>
    </w:p>
    <w:p w:rsidR="00C60506" w:rsidRDefault="00C60506">
      <w:bookmarkStart w:id="0" w:name="_GoBack"/>
      <w:bookmarkEnd w:id="0"/>
    </w:p>
    <w:sectPr w:rsidR="00C6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0"/>
    <w:rsid w:val="00664060"/>
    <w:rsid w:val="00C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6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6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2018-02-16T10:18:00Z</dcterms:created>
  <dcterms:modified xsi:type="dcterms:W3CDTF">2018-02-16T10:18:00Z</dcterms:modified>
</cp:coreProperties>
</file>