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EE" w:rsidRDefault="00773E65" w:rsidP="00773E65">
      <w:pPr>
        <w:jc w:val="both"/>
      </w:pPr>
      <w:r>
        <w:t>SUMARIO: I. LAS MODIFICACIONES ES</w:t>
      </w:r>
      <w:bookmarkStart w:id="0" w:name="_GoBack"/>
      <w:bookmarkEnd w:id="0"/>
      <w:r>
        <w:t>TRUCTURALES TRASLATIVAS Y EL CONCURSO DE ACREEDORES</w:t>
      </w:r>
      <w:proofErr w:type="gramStart"/>
      <w:r>
        <w:t>.—</w:t>
      </w:r>
      <w:proofErr w:type="gramEnd"/>
      <w:r>
        <w:t>II. LA RESCISIÓN DE LA OPERACIÓN EN EL SENO DEL CONCURSO Y LOS MECANISMOS DE TUTELA ESPECÍFICOS: 1. LA IMPUGNACIÓN DE LOS ACTOS REALIZADOS POR EL DEUDOR CON ANTERIORIDAD A LA DECLARACIÓN DE CONCURSO. 2. LA IMPUGNACIÓN DE LAS MODIFICACIONES ESTRUCTURALES. 3. LOS MECANISMOS ESPECÍFICOS DE TUTELA EN EL ÁMBITO DE LA NORMATIVA MERCANTIL</w:t>
      </w:r>
      <w:proofErr w:type="gramStart"/>
      <w:r>
        <w:t>.—</w:t>
      </w:r>
      <w:proofErr w:type="gramEnd"/>
      <w:r>
        <w:t>III. LAS POSICIONES DOCTRINALES Y JURISPRUDENCIALES SOBRE LA IMPUGNABILIDAD DE LAS MODIFICACIONES ESTRUCTURALES EN EL CONCURSO DE ACREEDORES</w:t>
      </w:r>
      <w:proofErr w:type="gramStart"/>
      <w:r>
        <w:t>.—</w:t>
      </w:r>
      <w:proofErr w:type="gramEnd"/>
      <w:r>
        <w:t>IV. EL PRINCIPIO DE «INIMPUGNABILIDAD» DE LA MODIFICACIÓN ESTRUCTURAL TRASLATIVA Y EL REMEDIO RESARCITORIO</w:t>
      </w:r>
      <w:proofErr w:type="gramStart"/>
      <w:r>
        <w:t>.—</w:t>
      </w:r>
      <w:proofErr w:type="gramEnd"/>
      <w:r>
        <w:t>V. CONCLUSIONES.—VI. ÍNDICE DE RESOLUCIONES CITADAS</w:t>
      </w:r>
      <w:proofErr w:type="gramStart"/>
      <w:r>
        <w:t>.—</w:t>
      </w:r>
      <w:proofErr w:type="gramEnd"/>
      <w:r>
        <w:t>VII. BIBLIOGRAFÍA.</w:t>
      </w:r>
    </w:p>
    <w:sectPr w:rsidR="00D762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65"/>
    <w:rsid w:val="00773E65"/>
    <w:rsid w:val="00D7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2018-02-01T08:52:00Z</dcterms:created>
  <dcterms:modified xsi:type="dcterms:W3CDTF">2018-02-01T08:52:00Z</dcterms:modified>
</cp:coreProperties>
</file>