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0A" w:rsidRPr="00A33E0A" w:rsidRDefault="00A33E0A" w:rsidP="00A33E0A">
      <w:pPr>
        <w:jc w:val="both"/>
        <w:rPr>
          <w:rFonts w:ascii="Times New Roman" w:hAnsi="Times New Roman"/>
          <w:sz w:val="28"/>
        </w:rPr>
      </w:pPr>
      <w:r w:rsidRPr="00A33E0A">
        <w:rPr>
          <w:rFonts w:ascii="Times New Roman" w:hAnsi="Times New Roman"/>
          <w:sz w:val="28"/>
        </w:rPr>
        <w:t>SUMARIO: I. PLANTEAMIE</w:t>
      </w:r>
      <w:bookmarkStart w:id="0" w:name="_GoBack"/>
      <w:bookmarkEnd w:id="0"/>
      <w:r w:rsidRPr="00A33E0A">
        <w:rPr>
          <w:rFonts w:ascii="Times New Roman" w:hAnsi="Times New Roman"/>
          <w:sz w:val="28"/>
        </w:rPr>
        <w:t>NTO</w:t>
      </w:r>
      <w:proofErr w:type="gramStart"/>
      <w:r w:rsidRPr="00A33E0A">
        <w:rPr>
          <w:rFonts w:ascii="Times New Roman" w:hAnsi="Times New Roman"/>
          <w:sz w:val="28"/>
        </w:rPr>
        <w:t>.—</w:t>
      </w:r>
      <w:proofErr w:type="gramEnd"/>
      <w:r w:rsidRPr="00A33E0A">
        <w:rPr>
          <w:rFonts w:ascii="Times New Roman" w:hAnsi="Times New Roman"/>
          <w:sz w:val="28"/>
        </w:rPr>
        <w:t>II. NATURALEZA IMPERATIVA DE LA LIQUIDACIÓN DE LA SOCIEDAD DE GANANCIALES</w:t>
      </w:r>
      <w:proofErr w:type="gramStart"/>
      <w:r w:rsidRPr="00A33E0A">
        <w:rPr>
          <w:rFonts w:ascii="Times New Roman" w:hAnsi="Times New Roman"/>
          <w:sz w:val="28"/>
        </w:rPr>
        <w:t>.—</w:t>
      </w:r>
      <w:proofErr w:type="gramEnd"/>
      <w:r w:rsidRPr="00A33E0A">
        <w:rPr>
          <w:rFonts w:ascii="Times New Roman" w:hAnsi="Times New Roman"/>
          <w:sz w:val="28"/>
        </w:rPr>
        <w:t>III. DIFERENCIA ENTRE LIQUIDACIÓN DE LA SOCIEDAD DE GANANCIALES Y PARTICIÓN DE LA HERENCIA</w:t>
      </w:r>
      <w:proofErr w:type="gramStart"/>
      <w:r w:rsidRPr="00A33E0A">
        <w:rPr>
          <w:rFonts w:ascii="Times New Roman" w:hAnsi="Times New Roman"/>
          <w:sz w:val="28"/>
        </w:rPr>
        <w:t>.—</w:t>
      </w:r>
      <w:proofErr w:type="gramEnd"/>
      <w:r w:rsidRPr="00A33E0A">
        <w:rPr>
          <w:rFonts w:ascii="Times New Roman" w:hAnsi="Times New Roman"/>
          <w:sz w:val="28"/>
        </w:rPr>
        <w:t>IV. NATURALEZA CONTRACTUAL DE LA PARTICIÓN HECHA POR HEREDEROS</w:t>
      </w:r>
      <w:proofErr w:type="gramStart"/>
      <w:r w:rsidRPr="00A33E0A">
        <w:rPr>
          <w:rFonts w:ascii="Times New Roman" w:hAnsi="Times New Roman"/>
          <w:sz w:val="28"/>
        </w:rPr>
        <w:t>.—</w:t>
      </w:r>
      <w:proofErr w:type="gramEnd"/>
      <w:r w:rsidRPr="00A33E0A">
        <w:rPr>
          <w:rFonts w:ascii="Times New Roman" w:hAnsi="Times New Roman"/>
          <w:sz w:val="28"/>
        </w:rPr>
        <w:t>V. CAUSAS DE IMPUGNACIÓN DE LA PARTICIÓN.—VI. CONCLUSIONES.</w:t>
      </w:r>
    </w:p>
    <w:p w:rsidR="005502A4" w:rsidRDefault="005502A4"/>
    <w:sectPr w:rsidR="00550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0A"/>
    <w:rsid w:val="005502A4"/>
    <w:rsid w:val="00A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0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0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2018-04-04T10:48:00Z</dcterms:created>
  <dcterms:modified xsi:type="dcterms:W3CDTF">2018-04-04T10:49:00Z</dcterms:modified>
</cp:coreProperties>
</file>