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CE6" w:rsidRDefault="00CA2CE6" w:rsidP="00CA2CE6">
      <w:pPr>
        <w:autoSpaceDE w:val="0"/>
        <w:autoSpaceDN w:val="0"/>
        <w:adjustRightInd w:val="0"/>
        <w:jc w:val="both"/>
        <w:rPr>
          <w:rFonts w:cs="Times New Roman"/>
          <w:iCs/>
          <w:szCs w:val="24"/>
        </w:rPr>
      </w:pPr>
      <w:r>
        <w:rPr>
          <w:rFonts w:ascii="NewAster-Italic" w:hAnsi="NewAster-Italic" w:cs="NewAster-Italic"/>
          <w:iCs/>
          <w:szCs w:val="24"/>
        </w:rPr>
        <w:t xml:space="preserve">SUMARIO: </w:t>
      </w:r>
      <w:r>
        <w:rPr>
          <w:rFonts w:ascii="NewAster" w:hAnsi="NewAster" w:cs="NewAster"/>
          <w:szCs w:val="24"/>
        </w:rPr>
        <w:t xml:space="preserve">I. PLANTEAMIENTO.—II. LA RESOLUCIÓN DEL DERECHO DEL ARRENDADOR: 1. </w:t>
      </w:r>
      <w:r>
        <w:rPr>
          <w:rFonts w:ascii="NewAster-SC700" w:hAnsi="NewAster-SC700" w:cs="NewAster-SC700"/>
          <w:szCs w:val="24"/>
        </w:rPr>
        <w:t xml:space="preserve">Régimen jurídico aplicable a los contratos de arrendamiento celebrados bajo la Ley 29/1994: </w:t>
      </w:r>
      <w:r>
        <w:rPr>
          <w:rFonts w:ascii="NewAster" w:hAnsi="NewAster" w:cs="NewAster"/>
          <w:i/>
          <w:szCs w:val="24"/>
        </w:rPr>
        <w:t xml:space="preserve">A) </w:t>
      </w:r>
      <w:r>
        <w:rPr>
          <w:rFonts w:ascii="NewAster-Italic" w:hAnsi="NewAster-Italic" w:cs="NewAster-Italic"/>
          <w:i/>
          <w:iCs/>
          <w:szCs w:val="24"/>
        </w:rPr>
        <w:t>Causas de resolución</w:t>
      </w:r>
      <w:r>
        <w:rPr>
          <w:rFonts w:ascii="NewAster-Italic" w:hAnsi="NewAster-Italic" w:cs="NewAster-Italic"/>
          <w:iCs/>
          <w:szCs w:val="24"/>
        </w:rPr>
        <w:t xml:space="preserve">: a) </w:t>
      </w:r>
      <w:r>
        <w:rPr>
          <w:rFonts w:ascii="NewAster" w:hAnsi="NewAster" w:cs="NewAster"/>
          <w:szCs w:val="24"/>
        </w:rPr>
        <w:t xml:space="preserve">Ejercicio de un retracto convencional; </w:t>
      </w:r>
      <w:r>
        <w:rPr>
          <w:rFonts w:ascii="NewAster-Italic" w:hAnsi="NewAster-Italic" w:cs="NewAster-Italic"/>
          <w:iCs/>
          <w:szCs w:val="24"/>
        </w:rPr>
        <w:t xml:space="preserve">b) </w:t>
      </w:r>
      <w:r>
        <w:rPr>
          <w:rFonts w:ascii="NewAster" w:hAnsi="NewAster" w:cs="NewAster"/>
          <w:szCs w:val="24"/>
        </w:rPr>
        <w:t xml:space="preserve">Apertura de una sustitución fideicomisaria; </w:t>
      </w:r>
      <w:r>
        <w:rPr>
          <w:rFonts w:ascii="NewAster-Italic" w:hAnsi="NewAster-Italic" w:cs="NewAster-Italic"/>
          <w:iCs/>
          <w:szCs w:val="24"/>
        </w:rPr>
        <w:t xml:space="preserve">c) </w:t>
      </w:r>
      <w:r>
        <w:rPr>
          <w:rFonts w:ascii="NewAster" w:hAnsi="NewAster" w:cs="NewAster"/>
          <w:szCs w:val="24"/>
        </w:rPr>
        <w:t xml:space="preserve">Enajenación forzosa derivada de una ejecución hipotecaria; </w:t>
      </w:r>
      <w:r>
        <w:rPr>
          <w:rFonts w:ascii="NewAster-Italic" w:hAnsi="NewAster-Italic" w:cs="NewAster-Italic"/>
          <w:iCs/>
          <w:szCs w:val="24"/>
        </w:rPr>
        <w:t xml:space="preserve">d) </w:t>
      </w:r>
      <w:r>
        <w:rPr>
          <w:rFonts w:ascii="NewAster" w:hAnsi="NewAster" w:cs="NewAster"/>
          <w:szCs w:val="24"/>
        </w:rPr>
        <w:t xml:space="preserve">Enajenación forzosa derivada de sentencia judicial; </w:t>
      </w:r>
      <w:r>
        <w:rPr>
          <w:rFonts w:ascii="NewAster-Italic" w:hAnsi="NewAster-Italic" w:cs="NewAster-Italic"/>
          <w:iCs/>
          <w:szCs w:val="24"/>
        </w:rPr>
        <w:t xml:space="preserve">e) </w:t>
      </w:r>
      <w:r>
        <w:rPr>
          <w:rFonts w:ascii="NewAster" w:hAnsi="NewAster" w:cs="NewAster"/>
          <w:szCs w:val="24"/>
        </w:rPr>
        <w:t xml:space="preserve">Ejercicio de opción de compra. </w:t>
      </w:r>
      <w:r>
        <w:rPr>
          <w:rFonts w:ascii="NewAster" w:hAnsi="NewAster" w:cs="NewAster"/>
          <w:i/>
          <w:szCs w:val="24"/>
        </w:rPr>
        <w:t xml:space="preserve">B) </w:t>
      </w:r>
      <w:r>
        <w:rPr>
          <w:rFonts w:ascii="NewAster-Italic" w:hAnsi="NewAster-Italic" w:cs="NewAster-Italic"/>
          <w:i/>
          <w:iCs/>
          <w:szCs w:val="24"/>
        </w:rPr>
        <w:t xml:space="preserve">Consecuencias jurídicas. </w:t>
      </w:r>
      <w:r>
        <w:rPr>
          <w:rFonts w:ascii="NewAster" w:hAnsi="NewAster" w:cs="NewAster"/>
          <w:i/>
          <w:szCs w:val="24"/>
        </w:rPr>
        <w:t xml:space="preserve">C) </w:t>
      </w:r>
      <w:r>
        <w:rPr>
          <w:rFonts w:ascii="NewAster-Italic" w:hAnsi="NewAster-Italic" w:cs="NewAster-Italic"/>
          <w:i/>
          <w:iCs/>
          <w:szCs w:val="24"/>
        </w:rPr>
        <w:t xml:space="preserve">La extinción del derecho del arrendatario, superficiario o titular de un análogo derecho de goce sobre el inmueble. </w:t>
      </w:r>
      <w:r>
        <w:rPr>
          <w:rFonts w:ascii="NewAster" w:hAnsi="NewAster" w:cs="NewAster"/>
          <w:i/>
          <w:szCs w:val="24"/>
        </w:rPr>
        <w:t xml:space="preserve">D) </w:t>
      </w:r>
      <w:r>
        <w:rPr>
          <w:rFonts w:ascii="NewAster-Italic" w:hAnsi="NewAster-Italic" w:cs="NewAster-Italic"/>
          <w:i/>
          <w:iCs/>
          <w:szCs w:val="24"/>
        </w:rPr>
        <w:t>Los arrendamientos concertados sobre vivienda ajena</w:t>
      </w:r>
      <w:r>
        <w:rPr>
          <w:rFonts w:ascii="NewAster-Italic" w:hAnsi="NewAster-Italic" w:cs="NewAster-Italic"/>
          <w:iCs/>
          <w:szCs w:val="24"/>
        </w:rPr>
        <w:t xml:space="preserve">. </w:t>
      </w:r>
      <w:r>
        <w:rPr>
          <w:rFonts w:ascii="NewAster" w:hAnsi="NewAster" w:cs="NewAster"/>
          <w:szCs w:val="24"/>
        </w:rPr>
        <w:t>2. R</w:t>
      </w:r>
      <w:r>
        <w:rPr>
          <w:rFonts w:ascii="NewAster-SC700" w:hAnsi="NewAster-SC700" w:cs="NewAster-SC700"/>
          <w:szCs w:val="24"/>
        </w:rPr>
        <w:t>égimen jurídico aplicable a los contratos de arrendamiento celebrados bajo la Ley 4/2013.</w:t>
      </w:r>
      <w:r>
        <w:rPr>
          <w:rFonts w:ascii="NewAster" w:hAnsi="NewAster" w:cs="NewAster"/>
          <w:szCs w:val="24"/>
        </w:rPr>
        <w:t xml:space="preserve">—III. LA ENAJENACIÓN DE LA VIVIENDA ARRENDADA: 1. </w:t>
      </w:r>
      <w:r>
        <w:rPr>
          <w:rFonts w:ascii="NewAster-SC700" w:hAnsi="NewAster-SC700" w:cs="NewAster-SC700"/>
          <w:szCs w:val="24"/>
        </w:rPr>
        <w:t>Consideraciones generales</w:t>
      </w:r>
      <w:r>
        <w:rPr>
          <w:rFonts w:ascii="NewAster" w:hAnsi="NewAster" w:cs="NewAster"/>
          <w:szCs w:val="24"/>
        </w:rPr>
        <w:t xml:space="preserve">. 2. </w:t>
      </w:r>
      <w:r>
        <w:rPr>
          <w:rFonts w:ascii="NewAster-SC700" w:hAnsi="NewAster-SC700" w:cs="NewAster-SC700"/>
          <w:szCs w:val="24"/>
        </w:rPr>
        <w:t>Consecuencias jurídicas de la enajenación de la vivienda arrendada</w:t>
      </w:r>
      <w:r>
        <w:rPr>
          <w:rFonts w:ascii="NewAster" w:hAnsi="NewAster" w:cs="NewAster"/>
          <w:szCs w:val="24"/>
        </w:rPr>
        <w:t xml:space="preserve">: </w:t>
      </w:r>
      <w:r>
        <w:rPr>
          <w:rFonts w:ascii="NewAster" w:hAnsi="NewAster" w:cs="NewAster"/>
          <w:i/>
          <w:szCs w:val="24"/>
        </w:rPr>
        <w:t xml:space="preserve">A) </w:t>
      </w:r>
      <w:r>
        <w:rPr>
          <w:rFonts w:ascii="NewAster-Italic" w:hAnsi="NewAster-Italic" w:cs="NewAster-Italic"/>
          <w:i/>
          <w:iCs/>
          <w:szCs w:val="24"/>
        </w:rPr>
        <w:t xml:space="preserve">Contratos de duración no superior a cinco años. </w:t>
      </w:r>
      <w:r>
        <w:rPr>
          <w:rFonts w:ascii="NewAster" w:hAnsi="NewAster" w:cs="NewAster"/>
          <w:i/>
          <w:szCs w:val="24"/>
        </w:rPr>
        <w:t xml:space="preserve">B) </w:t>
      </w:r>
      <w:r>
        <w:rPr>
          <w:rFonts w:ascii="NewAster-Italic" w:hAnsi="NewAster-Italic" w:cs="NewAster-Italic"/>
          <w:i/>
          <w:iCs/>
          <w:szCs w:val="24"/>
        </w:rPr>
        <w:t>Contratos de duración superior a cinco años</w:t>
      </w:r>
      <w:r>
        <w:rPr>
          <w:rFonts w:ascii="NewAster-Italic" w:hAnsi="NewAster-Italic" w:cs="NewAster-Italic"/>
          <w:iCs/>
          <w:szCs w:val="24"/>
        </w:rPr>
        <w:t xml:space="preserve">. </w:t>
      </w:r>
      <w:r>
        <w:rPr>
          <w:rFonts w:ascii="NewAster" w:hAnsi="NewAster" w:cs="NewAster"/>
          <w:szCs w:val="24"/>
        </w:rPr>
        <w:t>3. P</w:t>
      </w:r>
      <w:r>
        <w:rPr>
          <w:rFonts w:ascii="NewAster-SC700" w:hAnsi="NewAster-SC700" w:cs="NewAster-SC700"/>
          <w:szCs w:val="24"/>
        </w:rPr>
        <w:t>acto de extinción del arrendamiento</w:t>
      </w:r>
      <w:r>
        <w:rPr>
          <w:rFonts w:ascii="NewAster" w:hAnsi="NewAster" w:cs="NewAster"/>
          <w:szCs w:val="24"/>
        </w:rPr>
        <w:t xml:space="preserve">. 4. </w:t>
      </w:r>
      <w:r>
        <w:rPr>
          <w:rFonts w:ascii="NewAster-SC700" w:hAnsi="NewAster-SC700" w:cs="NewAster-SC700"/>
          <w:szCs w:val="24"/>
        </w:rPr>
        <w:t>Régimen jurídico aplicable a los arrendamientos celebrados bajo la Ley 4/2013.</w:t>
      </w:r>
      <w:r>
        <w:rPr>
          <w:rFonts w:ascii="NewAster" w:hAnsi="NewAster" w:cs="NewAster"/>
          <w:szCs w:val="24"/>
        </w:rPr>
        <w:t>—IV. BIBLIOGRAFÍA.—V. ÍNDICE DE RESOLUCIONES CITADAS.</w:t>
      </w:r>
    </w:p>
    <w:p w:rsidR="00B10A72" w:rsidRDefault="00B10A72">
      <w:bookmarkStart w:id="0" w:name="_GoBack"/>
      <w:bookmarkEnd w:id="0"/>
    </w:p>
    <w:sectPr w:rsidR="00B10A7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Aster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NewAster-SC700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CE6"/>
    <w:rsid w:val="00B10A72"/>
    <w:rsid w:val="00CA2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E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CE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5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2018-02-19T10:50:00Z</dcterms:created>
  <dcterms:modified xsi:type="dcterms:W3CDTF">2018-02-19T10:50:00Z</dcterms:modified>
</cp:coreProperties>
</file>