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0F" w:rsidRDefault="007C4D0F" w:rsidP="007C4D0F">
      <w:pPr>
        <w:rPr>
          <w:rFonts w:ascii="Times New Roman" w:hAnsi="Times New Roman"/>
          <w:sz w:val="24"/>
        </w:rPr>
      </w:pPr>
    </w:p>
    <w:p w:rsidR="007C4D0F" w:rsidRDefault="007C4D0F" w:rsidP="007C4D0F">
      <w:pPr>
        <w:rPr>
          <w:rFonts w:ascii="Times New Roman" w:hAnsi="Times New Roman"/>
          <w:sz w:val="24"/>
        </w:rPr>
      </w:pPr>
      <w:r w:rsidRPr="00B42294">
        <w:rPr>
          <w:rFonts w:ascii="Times New Roman" w:hAnsi="Times New Roman"/>
          <w:sz w:val="24"/>
        </w:rPr>
        <w:t>SUMARIO:</w:t>
      </w:r>
    </w:p>
    <w:p w:rsidR="007C4D0F" w:rsidRDefault="007C4D0F" w:rsidP="007C4D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42294">
        <w:rPr>
          <w:rFonts w:ascii="Times New Roman" w:hAnsi="Times New Roman"/>
          <w:sz w:val="24"/>
        </w:rPr>
        <w:t>I. PLANTEAMIENTO: LA CONTROVERSIA LEGAL Y DOCTRINAL SOBRE EL LEGADO DE PARTE ALÍCUOTA Y LA MENCIÓN TESTAMENTARIA DE «LEGAR PARTE DE LA HERENCIA»</w:t>
      </w:r>
      <w:proofErr w:type="gramStart"/>
      <w:r w:rsidRPr="00B42294">
        <w:rPr>
          <w:rFonts w:ascii="Times New Roman" w:hAnsi="Times New Roman"/>
          <w:sz w:val="24"/>
        </w:rPr>
        <w:t>.—</w:t>
      </w:r>
      <w:proofErr w:type="gramEnd"/>
      <w:r w:rsidRPr="00B42294">
        <w:rPr>
          <w:rFonts w:ascii="Times New Roman" w:hAnsi="Times New Roman"/>
          <w:sz w:val="24"/>
        </w:rPr>
        <w:t>II. LA ADMISIBILIDAD DEL LEGADO DE PARTE ALÍCUOTA EN NUESTRO DERECHO, A LA LUZ DE LA JURISPRUDENCIA DEL TS Y DE LA DOCTRINA</w:t>
      </w:r>
      <w:proofErr w:type="gramStart"/>
      <w:r w:rsidRPr="00B42294">
        <w:rPr>
          <w:rFonts w:ascii="Times New Roman" w:hAnsi="Times New Roman"/>
          <w:sz w:val="24"/>
        </w:rPr>
        <w:t>.—</w:t>
      </w:r>
      <w:proofErr w:type="gramEnd"/>
      <w:r w:rsidRPr="00B42294">
        <w:rPr>
          <w:rFonts w:ascii="Times New Roman" w:hAnsi="Times New Roman"/>
          <w:sz w:val="24"/>
        </w:rPr>
        <w:t>III. CONCEPTO CONCLUSIVO DE LEGADO DE PARTE ALÍCUOTA: SU DIFERENCIACIÓN DE LA INSTITUCIÓN DE HEREDERO Y DEL LEGADO ORDINARIO</w:t>
      </w:r>
      <w:proofErr w:type="gramStart"/>
      <w:r w:rsidRPr="00B42294">
        <w:rPr>
          <w:rFonts w:ascii="Times New Roman" w:hAnsi="Times New Roman"/>
          <w:sz w:val="24"/>
        </w:rPr>
        <w:t>.—</w:t>
      </w:r>
      <w:proofErr w:type="gramEnd"/>
      <w:r w:rsidRPr="00B42294">
        <w:rPr>
          <w:rFonts w:ascii="Times New Roman" w:hAnsi="Times New Roman"/>
          <w:sz w:val="24"/>
        </w:rPr>
        <w:t>IV. POSICIÓN JURÍDICA QUE OCUPA EL LEGATARIO DE PARTE ALÍCUOTA EN RELACIÓN A LA PARTICIÓN DE LA HERENCIA. 1. ¿</w:t>
      </w:r>
      <w:r>
        <w:rPr>
          <w:rFonts w:ascii="Times New Roman" w:hAnsi="Times New Roman"/>
          <w:sz w:val="24"/>
        </w:rPr>
        <w:t>P</w:t>
      </w:r>
      <w:r w:rsidRPr="00B42294">
        <w:rPr>
          <w:rFonts w:ascii="Times New Roman" w:hAnsi="Times New Roman"/>
          <w:sz w:val="24"/>
        </w:rPr>
        <w:t>uede solicitar la partición Judicial de la Herencia?: 1.1. ¿Pueden los colegatarios de parte alícuota pedir la partición de la herencia cuando alguno de ellos está sometido a condición suspensiva? 2. Breves consideraciones respecto de si el legatario de cuota debe contribuir a los gastos de partición. 3. ¿</w:t>
      </w:r>
      <w:r>
        <w:rPr>
          <w:rFonts w:ascii="Times New Roman" w:hAnsi="Times New Roman"/>
          <w:sz w:val="24"/>
        </w:rPr>
        <w:t>P</w:t>
      </w:r>
      <w:r w:rsidRPr="00B42294">
        <w:rPr>
          <w:rFonts w:ascii="Times New Roman" w:hAnsi="Times New Roman"/>
          <w:sz w:val="24"/>
        </w:rPr>
        <w:t>uede pedir la rescisión en caso de ser preterido por los Herederos al efectuar la partición?:</w:t>
      </w:r>
      <w:r>
        <w:rPr>
          <w:rFonts w:ascii="Times New Roman" w:hAnsi="Times New Roman"/>
          <w:sz w:val="24"/>
        </w:rPr>
        <w:t xml:space="preserve"> </w:t>
      </w:r>
      <w:r w:rsidRPr="00B42294">
        <w:rPr>
          <w:rFonts w:ascii="Times New Roman" w:hAnsi="Times New Roman"/>
          <w:sz w:val="24"/>
        </w:rPr>
        <w:t>3.1. La sentencia del Tribunal Supremo, de 12 de junio de 2006. Rescisión: Partición realizada por los herederos con preterición de los legatarios de parte alícuota. 4. ¿el legatario de cuota puede ser contador-partidor?—V. LA RENOVACIÓN DEL DERECHO FORAL Y EL TRATAMIENTO DEL LEGADO DE PARTE ALÍCUOTA</w:t>
      </w:r>
      <w:proofErr w:type="gramStart"/>
      <w:r w:rsidRPr="00B42294">
        <w:rPr>
          <w:rFonts w:ascii="Times New Roman" w:hAnsi="Times New Roman"/>
          <w:sz w:val="24"/>
        </w:rPr>
        <w:t>.—</w:t>
      </w:r>
      <w:proofErr w:type="gramEnd"/>
      <w:r w:rsidRPr="00B42294">
        <w:rPr>
          <w:rFonts w:ascii="Times New Roman" w:hAnsi="Times New Roman"/>
          <w:sz w:val="24"/>
        </w:rPr>
        <w:t>VI. REFLEXIONES CONCLUSIVAS. LA DETERMINACIÓN DE SI ES LEGADO DE PARTE ALÍCUOTA O INSTITUCIÓN DE HEREDERO DEPENDERÁ DE LA VOLUNTAD DEL TESTADOR: LA PRÁCTICA DE LA PARTICIÓN PARA CONCRETAR SU CUOTA</w:t>
      </w:r>
      <w:proofErr w:type="gramStart"/>
      <w:r w:rsidRPr="00B42294">
        <w:rPr>
          <w:rFonts w:ascii="Times New Roman" w:hAnsi="Times New Roman"/>
          <w:sz w:val="24"/>
        </w:rPr>
        <w:t>.—</w:t>
      </w:r>
      <w:proofErr w:type="gramEnd"/>
      <w:r w:rsidRPr="00B42294">
        <w:rPr>
          <w:rFonts w:ascii="Times New Roman" w:hAnsi="Times New Roman"/>
          <w:sz w:val="24"/>
        </w:rPr>
        <w:t>VII. BIBLIOGRAFÍA</w:t>
      </w:r>
      <w:proofErr w:type="gramStart"/>
      <w:r w:rsidRPr="00B42294">
        <w:rPr>
          <w:rFonts w:ascii="Times New Roman" w:hAnsi="Times New Roman"/>
          <w:sz w:val="24"/>
        </w:rPr>
        <w:t>.—</w:t>
      </w:r>
      <w:proofErr w:type="gramEnd"/>
      <w:r w:rsidRPr="00B42294">
        <w:rPr>
          <w:rFonts w:ascii="Times New Roman" w:hAnsi="Times New Roman"/>
          <w:sz w:val="24"/>
        </w:rPr>
        <w:t>VIII. ÍNDICE DE RESOLUCIONES CITADAS.</w:t>
      </w:r>
    </w:p>
    <w:p w:rsidR="00770217" w:rsidRDefault="00770217">
      <w:bookmarkStart w:id="0" w:name="_GoBack"/>
      <w:bookmarkEnd w:id="0"/>
    </w:p>
    <w:sectPr w:rsidR="00770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0F"/>
    <w:rsid w:val="00770217"/>
    <w:rsid w:val="007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0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0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2018-03-15T12:18:00Z</dcterms:created>
  <dcterms:modified xsi:type="dcterms:W3CDTF">2018-03-15T12:19:00Z</dcterms:modified>
</cp:coreProperties>
</file>