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41" w:rsidRDefault="00D62941" w:rsidP="00D62941">
      <w:pPr>
        <w:jc w:val="both"/>
      </w:pPr>
      <w:r>
        <w:t>SUMARIO: LAS DOS CLASES DE IGUALDAD DE RANGO</w:t>
      </w:r>
      <w:proofErr w:type="gramStart"/>
      <w:r>
        <w:t>.—</w:t>
      </w:r>
      <w:proofErr w:type="gramEnd"/>
      <w:r>
        <w:t>LA BASE IMPONIBLE EN LA IGUALACIÓN DE RANGO.—EL SUJETO PASIVO.— LA TOTAL RESPONSABILIDAD.—EL DERECHO QUE EMPEORA.—DEFECTUOSA BASE IMPONIBLE.—EL RESPETO A LOS ACREEDORES INTERMEDIOS. —LA NEGOCIACIÓN SOBRE EL RANGO Y EL IVA</w:t>
      </w:r>
      <w:proofErr w:type="gramStart"/>
      <w:r>
        <w:t>.—</w:t>
      </w:r>
      <w:proofErr w:type="gramEnd"/>
      <w:r>
        <w:t>LA POSPOSICIÓN DE HIPOTECA.—LA IGUALACIÓN DE RANGO Y LA CONDICIÓN SUSPENSIVA.—APLICACIÓN DEL ARTÍCULO 241 DEL REGLAMENTO HIPOTECARIO.—IGUALACIÓN Y CONDICIÓN RESOLUTORIA.</w:t>
      </w:r>
    </w:p>
    <w:p w:rsidR="00D85A63" w:rsidRDefault="00D85A63">
      <w:bookmarkStart w:id="0" w:name="_GoBack"/>
      <w:bookmarkEnd w:id="0"/>
    </w:p>
    <w:sectPr w:rsidR="00D8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41"/>
    <w:rsid w:val="00D62941"/>
    <w:rsid w:val="00D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2018-06-26T08:41:00Z</dcterms:created>
  <dcterms:modified xsi:type="dcterms:W3CDTF">2018-06-26T08:42:00Z</dcterms:modified>
</cp:coreProperties>
</file>