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A" w:rsidRPr="00DD04BA" w:rsidRDefault="00DD04BA" w:rsidP="00DD04BA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1"/>
          <w:szCs w:val="17"/>
        </w:rPr>
      </w:pPr>
      <w:r w:rsidRPr="00DD04BA">
        <w:rPr>
          <w:rFonts w:ascii="Times-Italic" w:hAnsi="Times-Italic" w:cs="Times-Italic"/>
          <w:i/>
          <w:iCs/>
          <w:sz w:val="21"/>
          <w:szCs w:val="17"/>
        </w:rPr>
        <w:t>SUMARIO:</w:t>
      </w:r>
    </w:p>
    <w:p w:rsidR="00DD04BA" w:rsidRPr="00DD04BA" w:rsidRDefault="00DD04BA" w:rsidP="00DD04BA">
      <w:pPr>
        <w:autoSpaceDE w:val="0"/>
        <w:autoSpaceDN w:val="0"/>
        <w:adjustRightInd w:val="0"/>
        <w:spacing w:after="0" w:line="240" w:lineRule="auto"/>
        <w:jc w:val="both"/>
        <w:rPr>
          <w:rFonts w:ascii="Times-RomanSC" w:hAnsi="Times-RomanSC" w:cs="Times-RomanSC"/>
          <w:sz w:val="21"/>
          <w:szCs w:val="17"/>
        </w:rPr>
      </w:pPr>
      <w:r w:rsidRPr="00DD04BA">
        <w:rPr>
          <w:rFonts w:ascii="Times-Roman" w:hAnsi="Times-Roman" w:cs="Times-Roman"/>
          <w:sz w:val="21"/>
          <w:szCs w:val="17"/>
        </w:rPr>
        <w:t>I. INTRODUCCIÓN.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II. LA CUANTÍA DEL PROCEDIMIENTO.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III. LA ACUMULACIÓN SUBJETIVA DE ACCIONES.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IV. LA CADUCIDAD DE LAS ACCIONES POR VICIO EN EL CONSENTIMIENTO.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V. EL ERROR EN EL CONSENTIMIENTO.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1. </w:t>
      </w:r>
      <w:r w:rsidRPr="00DD04BA">
        <w:rPr>
          <w:rFonts w:ascii="Times-RomanSC" w:hAnsi="Times-RomanSC" w:cs="Times-RomanSC"/>
          <w:sz w:val="21"/>
          <w:szCs w:val="17"/>
        </w:rPr>
        <w:t>El perfil del demandante y la posible inexcusabilidad.</w:t>
      </w:r>
      <w:r w:rsidRPr="00DD04BA">
        <w:rPr>
          <w:rFonts w:ascii="Times-Roman" w:hAnsi="Times-Roman" w:cs="Times-Roman"/>
          <w:sz w:val="21"/>
          <w:szCs w:val="17"/>
        </w:rPr>
        <w:t xml:space="preserve">2. </w:t>
      </w:r>
      <w:r w:rsidRPr="00DD04BA">
        <w:rPr>
          <w:rFonts w:ascii="Times-RomanSC" w:hAnsi="Times-RomanSC" w:cs="Times-RomanSC"/>
          <w:sz w:val="21"/>
          <w:szCs w:val="17"/>
        </w:rPr>
        <w:t>La carga de la prueba del error.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3. </w:t>
      </w:r>
      <w:r w:rsidRPr="00DD04BA">
        <w:rPr>
          <w:rFonts w:ascii="Times-RomanSC" w:hAnsi="Times-RomanSC" w:cs="Times-RomanSC"/>
          <w:sz w:val="21"/>
          <w:szCs w:val="17"/>
        </w:rPr>
        <w:t>La confusión con un seguro.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4. </w:t>
      </w:r>
      <w:r w:rsidRPr="00DD04BA">
        <w:rPr>
          <w:rFonts w:ascii="Times-RomanSC" w:hAnsi="Times-RomanSC" w:cs="Times-RomanSC"/>
          <w:sz w:val="21"/>
          <w:szCs w:val="17"/>
        </w:rPr>
        <w:t>La iniciativa de la entidad de crédito.</w:t>
      </w:r>
      <w:r w:rsidRPr="00DD04BA">
        <w:rPr>
          <w:rFonts w:ascii="Times-Roman" w:hAnsi="Times-Roman" w:cs="Times-Roman"/>
          <w:sz w:val="21"/>
          <w:szCs w:val="17"/>
        </w:rPr>
        <w:t xml:space="preserve">5. </w:t>
      </w:r>
      <w:r w:rsidRPr="00DD04BA">
        <w:rPr>
          <w:rFonts w:ascii="Times-RomanSC" w:hAnsi="Times-RomanSC" w:cs="Times-RomanSC"/>
          <w:sz w:val="21"/>
          <w:szCs w:val="17"/>
        </w:rPr>
        <w:t>La falta de equilibrio en las prestaciones.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VI. EL DOLO.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VII. LA FALTA DE CAUSA.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VIII. LA INFRACCIÓN DE LA NORMATIVA BANCARIA.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1. </w:t>
      </w:r>
      <w:r w:rsidRPr="00DD04BA">
        <w:rPr>
          <w:rFonts w:ascii="Times-RomanSC" w:hAnsi="Times-RomanSC" w:cs="Times-RomanSC"/>
          <w:sz w:val="21"/>
          <w:szCs w:val="17"/>
        </w:rPr>
        <w:t>Reflexión sobre la aplicación de la normativa MIFID a estos supuestos.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2. </w:t>
      </w:r>
      <w:r w:rsidRPr="00DD04BA">
        <w:rPr>
          <w:rFonts w:ascii="Times-RomanSC" w:hAnsi="Times-RomanSC" w:cs="Times-RomanSC"/>
          <w:sz w:val="21"/>
          <w:szCs w:val="17"/>
        </w:rPr>
        <w:t>Ámbito temporal de aplicación de la normativa MIFID.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3. </w:t>
      </w:r>
      <w:r w:rsidRPr="00DD04BA">
        <w:rPr>
          <w:rFonts w:ascii="Times-RomanSC" w:hAnsi="Times-RomanSC" w:cs="Times-RomanSC"/>
          <w:sz w:val="21"/>
          <w:szCs w:val="17"/>
        </w:rPr>
        <w:t>Incumplimiento respecto a la no realización del test MIFID y la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SC" w:hAnsi="Times-RomanSC" w:cs="Times-RomanSC"/>
          <w:sz w:val="21"/>
          <w:szCs w:val="17"/>
        </w:rPr>
        <w:t>ausencia de entrega de documentación precontractual.</w:t>
      </w:r>
      <w:r w:rsidRPr="00DD04BA">
        <w:rPr>
          <w:rFonts w:ascii="Times-Roman" w:hAnsi="Times-Roman" w:cs="Times-Roman"/>
          <w:sz w:val="21"/>
          <w:szCs w:val="17"/>
        </w:rPr>
        <w:t xml:space="preserve">4. </w:t>
      </w:r>
      <w:r w:rsidRPr="00DD04BA">
        <w:rPr>
          <w:rFonts w:ascii="Times-RomanSC" w:hAnsi="Times-RomanSC" w:cs="Times-RomanSC"/>
          <w:sz w:val="21"/>
          <w:szCs w:val="17"/>
        </w:rPr>
        <w:t>Análisis de la obligación de suministrar previsiones sobre el elemento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SC" w:hAnsi="Times-RomanSC" w:cs="Times-RomanSC"/>
          <w:sz w:val="21"/>
          <w:szCs w:val="17"/>
        </w:rPr>
        <w:t xml:space="preserve">aleatorio al que proporciona cobertura el </w:t>
      </w:r>
      <w:r w:rsidRPr="00DD04BA">
        <w:rPr>
          <w:rFonts w:ascii="Times-Italic-SC700" w:hAnsi="Times-Italic-SC700" w:cs="Times-Italic-SC700"/>
          <w:i/>
          <w:iCs/>
          <w:sz w:val="16"/>
          <w:szCs w:val="12"/>
        </w:rPr>
        <w:t>swap</w:t>
      </w:r>
      <w:r w:rsidRPr="00DD04BA">
        <w:rPr>
          <w:rFonts w:ascii="Times-Italic-SC700" w:hAnsi="Times-Italic-SC700" w:cs="Times-Italic-SC700"/>
          <w:i/>
          <w:iCs/>
          <w:sz w:val="21"/>
          <w:szCs w:val="17"/>
        </w:rPr>
        <w:t>.</w:t>
      </w:r>
      <w:r>
        <w:rPr>
          <w:rFonts w:ascii="Times-Italic-SC700" w:hAnsi="Times-Italic-SC700" w:cs="Times-Italic-SC700"/>
          <w:i/>
          <w:iCs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5. </w:t>
      </w:r>
      <w:r w:rsidRPr="00DD04BA">
        <w:rPr>
          <w:rFonts w:ascii="Times-RomanSC" w:hAnsi="Times-RomanSC" w:cs="Times-RomanSC"/>
          <w:sz w:val="21"/>
          <w:szCs w:val="17"/>
        </w:rPr>
        <w:t>La problemática de las cláusulas de cancelación.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6. </w:t>
      </w:r>
      <w:r w:rsidRPr="00DD04BA">
        <w:rPr>
          <w:rFonts w:ascii="Times-RomanSC" w:hAnsi="Times-RomanSC" w:cs="Times-RomanSC"/>
          <w:sz w:val="21"/>
          <w:szCs w:val="17"/>
        </w:rPr>
        <w:t>Estudio respecto a la posible nulidad por incumplimiento de la</w:t>
      </w:r>
      <w:r>
        <w:rPr>
          <w:rFonts w:ascii="Times-RomanSC" w:hAnsi="Times-RomanSC" w:cs="Times-RomanSC"/>
          <w:sz w:val="21"/>
          <w:szCs w:val="17"/>
        </w:rPr>
        <w:t xml:space="preserve"> </w:t>
      </w:r>
      <w:r w:rsidRPr="00DD04BA">
        <w:rPr>
          <w:rFonts w:ascii="Times-RomanSC" w:hAnsi="Times-RomanSC" w:cs="Times-RomanSC"/>
          <w:sz w:val="21"/>
          <w:szCs w:val="17"/>
        </w:rPr>
        <w:t>normativa bancaria</w:t>
      </w:r>
      <w:r>
        <w:rPr>
          <w:rFonts w:ascii="Times-RomanSC" w:hAnsi="Times-RomanSC" w:cs="Times-RomanSC"/>
          <w:sz w:val="21"/>
          <w:szCs w:val="17"/>
        </w:rPr>
        <w:t xml:space="preserve">. </w:t>
      </w:r>
      <w:r w:rsidRPr="00DD04BA">
        <w:rPr>
          <w:rFonts w:ascii="Times-Roman" w:hAnsi="Times-Roman" w:cs="Times-Roman"/>
          <w:sz w:val="21"/>
          <w:szCs w:val="17"/>
        </w:rPr>
        <w:t>IX. LA NORMATIVA DE CONDICIONES GENERALES DE LA CONTRATACIÓN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Y DE CONSUMIDORES.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X. LA DOCTRINA DE LOS ACTOS PROPIOS.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 xml:space="preserve">XI. LA APLICACIÓN DE LA CLÁUSULA </w:t>
      </w:r>
      <w:r w:rsidRPr="00DD04BA">
        <w:rPr>
          <w:rFonts w:ascii="Times-Italic" w:hAnsi="Times-Italic" w:cs="Times-Italic"/>
          <w:i/>
          <w:iCs/>
          <w:sz w:val="21"/>
          <w:szCs w:val="17"/>
        </w:rPr>
        <w:t>REBUS SIC STANTIBUS.</w:t>
      </w:r>
      <w:r>
        <w:rPr>
          <w:rFonts w:ascii="Times-Italic" w:hAnsi="Times-Italic" w:cs="Times-Italic"/>
          <w:i/>
          <w:iCs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XII. LAS COSTAS.</w:t>
      </w:r>
      <w:r>
        <w:rPr>
          <w:rFonts w:ascii="Times-Roman" w:hAnsi="Times-Roman" w:cs="Times-Roman"/>
          <w:sz w:val="21"/>
          <w:szCs w:val="17"/>
        </w:rPr>
        <w:t xml:space="preserve"> </w:t>
      </w:r>
      <w:bookmarkStart w:id="0" w:name="_GoBack"/>
      <w:bookmarkEnd w:id="0"/>
      <w:r w:rsidRPr="00DD04BA">
        <w:rPr>
          <w:rFonts w:ascii="Times-Roman" w:hAnsi="Times-Roman" w:cs="Times-Roman"/>
          <w:sz w:val="21"/>
          <w:szCs w:val="17"/>
        </w:rPr>
        <w:t>XIII. CONCLUSIONES.</w:t>
      </w:r>
      <w:r>
        <w:rPr>
          <w:rFonts w:ascii="Times-Roman" w:hAnsi="Times-Roman" w:cs="Times-Roman"/>
          <w:sz w:val="21"/>
          <w:szCs w:val="17"/>
        </w:rPr>
        <w:t xml:space="preserve"> </w:t>
      </w:r>
      <w:r w:rsidRPr="00DD04BA">
        <w:rPr>
          <w:rFonts w:ascii="Times-Roman" w:hAnsi="Times-Roman" w:cs="Times-Roman"/>
          <w:sz w:val="21"/>
          <w:szCs w:val="17"/>
        </w:rPr>
        <w:t>XIV. BIBLIOGRAFÍA.XV. JURISPRUDENCIA CONSULTADA.</w:t>
      </w:r>
    </w:p>
    <w:sectPr w:rsidR="00DD04BA" w:rsidRPr="00DD0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BA"/>
    <w:rsid w:val="00A85897"/>
    <w:rsid w:val="00D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2018-02-27T11:54:00Z</dcterms:created>
  <dcterms:modified xsi:type="dcterms:W3CDTF">2018-02-27T11:58:00Z</dcterms:modified>
</cp:coreProperties>
</file>