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0" w:rsidRPr="00A55860" w:rsidRDefault="00A55860" w:rsidP="00A558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 w:eastAsia="es-ES"/>
        </w:rPr>
      </w:pPr>
      <w:r w:rsidRPr="00A55860">
        <w:rPr>
          <w:rFonts w:ascii="Times New Roman" w:eastAsia="Calibri" w:hAnsi="Times New Roman" w:cs="Times New Roman"/>
          <w:iCs/>
          <w:color w:val="000000"/>
          <w:sz w:val="24"/>
          <w:szCs w:val="17"/>
          <w:lang w:val="es-ES"/>
        </w:rPr>
        <w:t xml:space="preserve">SUMARIO: </w:t>
      </w:r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I. EFECTOS DE LA ACEPTACIÓN DE LA HERENCIA. LA CUESTIÓN DE LA SEPARACIÓN DE PATRIMONIOS. LA RESPONSABILIDAD DEL HEREDERO EN EL DERECHO ESPAÑOL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II. FENOMENO SUCESORIO Y CONCURSO DE ACREEDORES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III. PRECEPTOS DE LA LEY CONCURSAL RELATIVOS AL CONCURSO DE ACREEDORES DEL CAUSANTE DE UNA HERENCIA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IV. LA CONTINUACIÓN DEL CONCURSO DEL CAUSANTE COMO CONCURSO DE LA HERENCIA.—V. LA ACEPTACIÓN DE LA HERENCIA CAUSADA POR EL CONCURSADO FALLECIDO: 1. A</w:t>
      </w:r>
      <w:r w:rsidRPr="00A55860">
        <w:rPr>
          <w:rFonts w:ascii="Times New Roman" w:eastAsia="Calibri" w:hAnsi="Times New Roman" w:cs="Times New Roman"/>
          <w:color w:val="000000"/>
          <w:sz w:val="24"/>
          <w:szCs w:val="12"/>
          <w:lang w:val="es-ES"/>
        </w:rPr>
        <w:t>ceptación de la herencia a beneficio de inventario</w:t>
      </w:r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 2. A</w:t>
      </w:r>
      <w:r w:rsidRPr="00A55860">
        <w:rPr>
          <w:rFonts w:ascii="Times New Roman" w:eastAsia="Calibri" w:hAnsi="Times New Roman" w:cs="Times New Roman"/>
          <w:color w:val="000000"/>
          <w:sz w:val="24"/>
          <w:szCs w:val="12"/>
          <w:lang w:val="es-ES"/>
        </w:rPr>
        <w:t>ceptación de la herencia pura y simplemente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VI. CONCLUSIONES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VII. INDICE DE RESOLUCIONES CITADAS</w:t>
      </w:r>
      <w:proofErr w:type="gramStart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.—</w:t>
      </w:r>
      <w:proofErr w:type="gramEnd"/>
      <w:r w:rsidRPr="00A55860">
        <w:rPr>
          <w:rFonts w:ascii="Times New Roman" w:eastAsia="Calibri" w:hAnsi="Times New Roman" w:cs="Times New Roman"/>
          <w:color w:val="000000"/>
          <w:sz w:val="24"/>
          <w:szCs w:val="17"/>
          <w:lang w:val="es-ES"/>
        </w:rPr>
        <w:t>VII. BIBLIOGRAFIA.</w:t>
      </w:r>
    </w:p>
    <w:p w:rsidR="004A5A9E" w:rsidRPr="00A55860" w:rsidRDefault="004A5A9E">
      <w:pPr>
        <w:rPr>
          <w:lang w:val="es-ES"/>
        </w:rPr>
      </w:pPr>
      <w:bookmarkStart w:id="0" w:name="_GoBack"/>
      <w:bookmarkEnd w:id="0"/>
    </w:p>
    <w:sectPr w:rsidR="004A5A9E" w:rsidRPr="00A5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0"/>
    <w:rsid w:val="004A5A9E"/>
    <w:rsid w:val="00A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2018-02-13T08:37:00Z</dcterms:created>
  <dcterms:modified xsi:type="dcterms:W3CDTF">2018-02-13T08:38:00Z</dcterms:modified>
</cp:coreProperties>
</file>