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E" w:rsidRDefault="00604888" w:rsidP="00604888">
      <w:pPr>
        <w:jc w:val="both"/>
      </w:pPr>
      <w:r>
        <w:t>SUM AR</w:t>
      </w:r>
      <w:r>
        <w:t>IO: I</w:t>
      </w:r>
      <w:proofErr w:type="gramStart"/>
      <w:r>
        <w:t>.—</w:t>
      </w:r>
      <w:proofErr w:type="gramEnd"/>
      <w:r>
        <w:t xml:space="preserve"> INTRODUCCIÓN.—II. PRESUPU</w:t>
      </w:r>
      <w:r>
        <w:t>ESTOS PARA LA APLICACIÓN DEL FRESH START REGULADO EN EL ARTÍCULO 178.2 LC. 1. Presupuesto subjetivo. 2. Presupuestos o</w:t>
      </w:r>
      <w:r>
        <w:t>b</w:t>
      </w:r>
      <w:r>
        <w:t>jetivos. 3. Presupuestos formales</w:t>
      </w:r>
      <w:proofErr w:type="gramStart"/>
      <w:r>
        <w:t>.—</w:t>
      </w:r>
      <w:proofErr w:type="gramEnd"/>
      <w:r>
        <w:t xml:space="preserve"> III. CONSECUENCIAS DE LA APLICACIÓN DEL F RE SH START</w:t>
      </w:r>
      <w:proofErr w:type="gramStart"/>
      <w:r>
        <w:t>.—</w:t>
      </w:r>
      <w:proofErr w:type="gramEnd"/>
      <w:r>
        <w:t>IV. APLICACIÓN RETROACTIVA DEL FRE</w:t>
      </w:r>
      <w:bookmarkStart w:id="0" w:name="_GoBack"/>
      <w:bookmarkEnd w:id="0"/>
      <w:r>
        <w:t>SH START POR LA JURISPRUDENCIA.—V. CONCLUSIO NES.—VI. ÍNDICE DE RESOLUCIONES CITADAS</w:t>
      </w:r>
      <w:proofErr w:type="gramStart"/>
      <w:r>
        <w:t>.—</w:t>
      </w:r>
      <w:proofErr w:type="gramEnd"/>
      <w:r>
        <w:t>VII. BIBLIOGRAFÍA.</w:t>
      </w:r>
    </w:p>
    <w:sectPr w:rsidR="00B4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88"/>
    <w:rsid w:val="00604888"/>
    <w:rsid w:val="00B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2018-02-14T09:32:00Z</dcterms:created>
  <dcterms:modified xsi:type="dcterms:W3CDTF">2018-02-14T09:38:00Z</dcterms:modified>
</cp:coreProperties>
</file>