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18" w:rsidRDefault="00E36EF5">
      <w:r w:rsidRPr="00977CE8">
        <w:t>I. CAPACIDAD PARA CANCELAR:</w:t>
      </w:r>
      <w:r>
        <w:t xml:space="preserve"> </w:t>
      </w:r>
      <w:r w:rsidRPr="00977CE8">
        <w:t>REGLA GENERAL</w:t>
      </w:r>
      <w:r>
        <w:t xml:space="preserve">. </w:t>
      </w:r>
      <w:r w:rsidRPr="00977CE8">
        <w:t>II. SUPUESTO ESPECIAL DE CANCELACIÓN DE CRÉDITO HIPOTECARIO EXTINGUIDO POR PAGO:</w:t>
      </w:r>
      <w:r>
        <w:t xml:space="preserve"> </w:t>
      </w:r>
      <w:r w:rsidRPr="00977CE8">
        <w:t>ARTÍCULO 178.2 RH.</w:t>
      </w:r>
      <w:r>
        <w:t xml:space="preserve"> </w:t>
      </w:r>
      <w:bookmarkStart w:id="0" w:name="_GoBack"/>
      <w:bookmarkEnd w:id="0"/>
    </w:p>
    <w:sectPr w:rsidR="00F508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F5"/>
    <w:rsid w:val="00E36EF5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2018-04-24T10:53:00Z</dcterms:created>
  <dcterms:modified xsi:type="dcterms:W3CDTF">2018-04-24T10:55:00Z</dcterms:modified>
</cp:coreProperties>
</file>