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BE" w:rsidRPr="00895E7E" w:rsidRDefault="00F230BE" w:rsidP="00F230BE">
      <w:pPr>
        <w:jc w:val="both"/>
      </w:pPr>
      <w:r w:rsidRPr="00895E7E">
        <w:t>I. INTRODUCCIÓN.</w:t>
      </w:r>
      <w:r>
        <w:t xml:space="preserve"> </w:t>
      </w:r>
      <w:r w:rsidRPr="00895E7E">
        <w:t>II. HIPOTECA CONDICIONAL:</w:t>
      </w:r>
      <w:r>
        <w:t xml:space="preserve"> </w:t>
      </w:r>
      <w:r w:rsidRPr="00895E7E">
        <w:t>SUPUESTO DE HECHO.</w:t>
      </w:r>
      <w:r w:rsidRPr="00F230BE">
        <w:t xml:space="preserve"> </w:t>
      </w:r>
      <w:r w:rsidRPr="00895E7E">
        <w:t>III. POSIBILIDAD DE ADMISIÓN DE LAS HIPOTECAS SOMETIDAS A  CONDICIÓN SUSPENSIVA.</w:t>
      </w:r>
      <w:r>
        <w:t xml:space="preserve"> </w:t>
      </w:r>
      <w:r w:rsidRPr="00895E7E">
        <w:t>IV. PROBLEMAS PRÁCTICOS DE LAS HIPOTECAS SOMETIDAS A CONDICIÓN SUSPENSIVA.</w:t>
      </w:r>
      <w:r>
        <w:t xml:space="preserve"> </w:t>
      </w:r>
      <w:r w:rsidRPr="00895E7E">
        <w:t>1. VENTA FINCA HIPOTECADA</w:t>
      </w:r>
      <w:r>
        <w:t>.</w:t>
      </w:r>
      <w:r w:rsidRPr="00F230BE">
        <w:t xml:space="preserve"> </w:t>
      </w:r>
      <w:r w:rsidRPr="00895E7E">
        <w:t>2. EJECUCIÓN FINCA HIPOTECADA.</w:t>
      </w:r>
      <w:bookmarkStart w:id="0" w:name="_GoBack"/>
      <w:bookmarkEnd w:id="0"/>
    </w:p>
    <w:p w:rsidR="00F230BE" w:rsidRPr="00895E7E" w:rsidRDefault="00F230BE" w:rsidP="00F230BE">
      <w:pPr>
        <w:jc w:val="both"/>
      </w:pPr>
    </w:p>
    <w:p w:rsidR="000555B8" w:rsidRDefault="000555B8"/>
    <w:sectPr w:rsidR="00055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BE"/>
    <w:rsid w:val="000555B8"/>
    <w:rsid w:val="00F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2018-05-03T08:06:00Z</dcterms:created>
  <dcterms:modified xsi:type="dcterms:W3CDTF">2018-05-03T08:08:00Z</dcterms:modified>
</cp:coreProperties>
</file>