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07" w:rsidRDefault="00EB0B07" w:rsidP="00EB0B07">
      <w:pPr>
        <w:autoSpaceDE w:val="0"/>
        <w:autoSpaceDN w:val="0"/>
        <w:adjustRightInd w:val="0"/>
        <w:spacing w:after="0" w:line="240" w:lineRule="auto"/>
        <w:jc w:val="both"/>
      </w:pPr>
      <w:r>
        <w:rPr>
          <w:iCs/>
        </w:rPr>
        <w:t xml:space="preserve">SUMARIO: </w:t>
      </w:r>
      <w:r>
        <w:t xml:space="preserve">I. CONCEPTO DE PRENDA.—II. DISTINCIÓN ENTRE LA PRENDA ORDINARIA Y LA PRENDA SIN DESPLAZAMIENTO DE POSESIÓN: A) Prenda ordinaria. B) Prenda sin desplazamiento de posesión.—III. POSICIÓN DE LA DIRECCIÓN GENERAL DE LOS REGISTROS Y DEL NOTARIADO EN LA MATERIA.—IV. LA REFORMA POR LEY 41/2007 DEL ARTÍCULO 54 DE LA LEY DE HIPOTECA MOBILIARIA Y PRENDA SIN DESPLAZAMIENTO DE POSESIÓN, DE 16 DE DICIEMBRE DE 1954.—V. LA PRELACIÓN COMO CRÉDITO SINGULARMENTE PRIVILEGIADO EN LA LEY CONCURSAL.—VI. LA PRENDA DE CRÉDITOS. SUBSISTENCIA DE LAS DOS FIGURAS: PRENDA ORDINARIA Y PRENDA SIN DESPLAZAMIENTO DE POSESIÓN.—VII. INTERPRETACIÓN Y CRÍTICA DE LA RESOLUCIÓN DE LA DGRN, DE 18 DE MARZO DE 2008 </w:t>
      </w:r>
      <w:r>
        <w:rPr>
          <w:iCs/>
        </w:rPr>
        <w:t xml:space="preserve">(BOE </w:t>
      </w:r>
      <w:r>
        <w:t>DE 29 DE MAR ZO DE 2008).—VIII. ACLARACIÓN DE EXTREMOS DUDOSOS POR LA INSTRUCCIÓN DE 12 DE MAYO DE 2012.—IX. PRENDA EN GARANTÍA DE UNA PLURALIDAD DE OBLIGACIONES Y SOBRE UNO O VARIOS CRÉDITOS FUTUROS.—X. CONCLUSIÓN.</w:t>
      </w:r>
    </w:p>
    <w:p w:rsidR="00926D6D" w:rsidRDefault="00926D6D">
      <w:bookmarkStart w:id="0" w:name="_GoBack"/>
      <w:bookmarkEnd w:id="0"/>
    </w:p>
    <w:sectPr w:rsidR="00926D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07"/>
    <w:rsid w:val="00926D6D"/>
    <w:rsid w:val="00EB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07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07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2018-02-16T11:28:00Z</dcterms:created>
  <dcterms:modified xsi:type="dcterms:W3CDTF">2018-02-16T11:28:00Z</dcterms:modified>
</cp:coreProperties>
</file>