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42" w:rsidRDefault="00DC5242" w:rsidP="00DC5242">
      <w:pPr>
        <w:autoSpaceDE w:val="0"/>
        <w:autoSpaceDN w:val="0"/>
        <w:adjustRightInd w:val="0"/>
      </w:pPr>
      <w:r>
        <w:rPr>
          <w:rFonts w:ascii="Times New Roman" w:hAnsi="Times New Roman"/>
          <w:iCs/>
          <w:color w:val="000000"/>
          <w:sz w:val="24"/>
          <w:szCs w:val="17"/>
          <w:lang w:eastAsia="en-US"/>
        </w:rPr>
        <w:t xml:space="preserve">SUMARIO: </w:t>
      </w:r>
      <w:r>
        <w:rPr>
          <w:rFonts w:ascii="Times New Roman" w:hAnsi="Times New Roman"/>
          <w:color w:val="000000"/>
          <w:sz w:val="24"/>
          <w:szCs w:val="17"/>
          <w:lang w:eastAsia="en-US"/>
        </w:rPr>
        <w:t>I. PLANTEAMIENTO DE LA CUESTION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II. CARGAS FAMILIARES Y RÉGIMEN ECONOMICO MATRIMONIAL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III. EXISTENCIA CONTRADICTORIA DE LAS AUDIENCIAS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IV. JURISPRUDENCIA DEL TS DEL ARTÍCULO 1438 DEL CÓDIGO CIVIL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V. PRUEBA DE LAS TAREAS DE LA CASA DE FORMA EXCLUSIVA.—VI. LA COMPENSACIÓN Y EL RÉGIMEN DE SEPARACIÓN DE BIENES EN EL DERECHO FORAL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VII. BIBLIOGRAFIA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 xml:space="preserve"> VIII. INDICE DE SENTENCIAS (DEL TS, AP) CITADAS (POR ORDEN CRONOLOGICO)</w:t>
      </w:r>
      <w:proofErr w:type="gramStart"/>
      <w:r>
        <w:rPr>
          <w:rFonts w:ascii="Times New Roman" w:hAnsi="Times New Roman"/>
          <w:color w:val="000000"/>
          <w:sz w:val="24"/>
          <w:szCs w:val="17"/>
          <w:lang w:eastAsia="en-US"/>
        </w:rPr>
        <w:t>.—</w:t>
      </w:r>
      <w:proofErr w:type="gramEnd"/>
      <w:r>
        <w:rPr>
          <w:rFonts w:ascii="Times New Roman" w:hAnsi="Times New Roman"/>
          <w:color w:val="000000"/>
          <w:sz w:val="24"/>
          <w:szCs w:val="17"/>
          <w:lang w:eastAsia="en-US"/>
        </w:rPr>
        <w:t>IX. LEGISLACIÓN CITADA.</w:t>
      </w:r>
    </w:p>
    <w:p w:rsidR="008244BB" w:rsidRDefault="008244BB">
      <w:bookmarkStart w:id="0" w:name="_GoBack"/>
      <w:bookmarkEnd w:id="0"/>
    </w:p>
    <w:sectPr w:rsidR="00824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42"/>
    <w:rsid w:val="008244BB"/>
    <w:rsid w:val="00D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2018-02-13T10:13:00Z</dcterms:created>
  <dcterms:modified xsi:type="dcterms:W3CDTF">2018-02-13T10:14:00Z</dcterms:modified>
</cp:coreProperties>
</file>