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DD0853" w:rsidP="00DD0853">
      <w:pPr>
        <w:jc w:val="both"/>
      </w:pPr>
      <w:r w:rsidRPr="00185A4C">
        <w:rPr>
          <w:rFonts w:cs="Times New Roman"/>
          <w:iCs/>
          <w:szCs w:val="24"/>
        </w:rPr>
        <w:t xml:space="preserve">SUMARIO: </w:t>
      </w:r>
      <w:r w:rsidRPr="00185A4C">
        <w:rPr>
          <w:rFonts w:cs="Times New Roman"/>
          <w:szCs w:val="24"/>
        </w:rPr>
        <w:t>I. ¿DEBE EL LEGADO ORDENARSE EN UNA DISPOSICIÓN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TESTAMENTARIA O PUEDE TENER ORIGEN LEGAL?: 1</w:t>
      </w:r>
      <w:r w:rsidRPr="00185A4C">
        <w:rPr>
          <w:rFonts w:cs="Times New Roman"/>
          <w:iCs/>
          <w:szCs w:val="24"/>
        </w:rPr>
        <w:t xml:space="preserve">. </w:t>
      </w:r>
      <w:r w:rsidRPr="00185A4C">
        <w:rPr>
          <w:rFonts w:cs="Times New Roman"/>
          <w:szCs w:val="24"/>
        </w:rPr>
        <w:t>Planteamiento preliminar.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2. Recapitulación argumentativa</w:t>
      </w:r>
      <w:proofErr w:type="gramStart"/>
      <w:r w:rsidRPr="00185A4C">
        <w:rPr>
          <w:rFonts w:cs="Times New Roman"/>
          <w:szCs w:val="24"/>
        </w:rPr>
        <w:t>.—</w:t>
      </w:r>
      <w:proofErr w:type="gramEnd"/>
      <w:r w:rsidRPr="00185A4C">
        <w:rPr>
          <w:rFonts w:cs="Times New Roman"/>
          <w:szCs w:val="24"/>
        </w:rPr>
        <w:t>II. DEFINICIÓN DE LEGADO: LA STS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DE 28 DE MAYO DE 1994</w:t>
      </w:r>
      <w:proofErr w:type="gramStart"/>
      <w:r w:rsidRPr="00185A4C">
        <w:rPr>
          <w:rFonts w:cs="Times New Roman"/>
          <w:szCs w:val="24"/>
        </w:rPr>
        <w:t>.—</w:t>
      </w:r>
      <w:proofErr w:type="gramEnd"/>
      <w:r w:rsidRPr="00185A4C">
        <w:rPr>
          <w:rFonts w:cs="Times New Roman"/>
          <w:szCs w:val="24"/>
        </w:rPr>
        <w:t>III. LA LEGÍTIMA COMO LEGADO DE PARTE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ALÍCUOTA: 1. Naturaleza jurídica de la legítima. 2. La legítima y el legado de parte alícuota. 3. Justificación de lo expuesto</w:t>
      </w:r>
      <w:proofErr w:type="gramStart"/>
      <w:r w:rsidRPr="00185A4C">
        <w:rPr>
          <w:rFonts w:cs="Times New Roman"/>
          <w:szCs w:val="24"/>
        </w:rPr>
        <w:t>.—</w:t>
      </w:r>
      <w:proofErr w:type="gramEnd"/>
      <w:r w:rsidRPr="00185A4C">
        <w:rPr>
          <w:rFonts w:cs="Times New Roman"/>
          <w:szCs w:val="24"/>
        </w:rPr>
        <w:t>IV. Posición de la jurisprudencia: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la legítima como cuota del activo neto o como cuota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de herencia</w:t>
      </w:r>
      <w:proofErr w:type="gramStart"/>
      <w:r w:rsidRPr="00185A4C">
        <w:rPr>
          <w:rFonts w:cs="Times New Roman"/>
          <w:szCs w:val="24"/>
        </w:rPr>
        <w:t>.—</w:t>
      </w:r>
      <w:proofErr w:type="gramEnd"/>
      <w:r w:rsidRPr="00185A4C">
        <w:rPr>
          <w:rFonts w:cs="Times New Roman"/>
          <w:szCs w:val="24"/>
        </w:rPr>
        <w:t>V. CONCLUSIONES.—VI. BIBLIOGRAFÍA</w:t>
      </w:r>
      <w:proofErr w:type="gramStart"/>
      <w:r w:rsidRPr="00185A4C">
        <w:rPr>
          <w:rFonts w:cs="Times New Roman"/>
          <w:szCs w:val="24"/>
        </w:rPr>
        <w:t>.—</w:t>
      </w:r>
      <w:proofErr w:type="gramEnd"/>
      <w:r w:rsidRPr="00185A4C">
        <w:rPr>
          <w:rFonts w:cs="Times New Roman"/>
          <w:szCs w:val="24"/>
        </w:rPr>
        <w:t xml:space="preserve">VII. ÍNDICE </w:t>
      </w:r>
      <w:bookmarkStart w:id="0" w:name="_GoBack"/>
      <w:bookmarkEnd w:id="0"/>
      <w:r w:rsidRPr="00185A4C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 xml:space="preserve"> </w:t>
      </w:r>
      <w:r w:rsidRPr="00185A4C">
        <w:rPr>
          <w:rFonts w:cs="Times New Roman"/>
          <w:szCs w:val="24"/>
        </w:rPr>
        <w:t>RESOLUCIONES CITADAS.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3"/>
    <w:rsid w:val="004C08CB"/>
    <w:rsid w:val="00AE6146"/>
    <w:rsid w:val="00D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2014-09-02T11:46:00Z</dcterms:created>
  <dcterms:modified xsi:type="dcterms:W3CDTF">2014-09-02T11:46:00Z</dcterms:modified>
</cp:coreProperties>
</file>