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C619FC" w:rsidRDefault="00C619FC">
      <w:pPr>
        <w:rPr>
          <w:rFonts w:ascii="Times New Roman" w:hAnsi="Times New Roman"/>
          <w:sz w:val="24"/>
          <w:szCs w:val="17"/>
          <w:lang w:eastAsia="en-US"/>
        </w:rPr>
      </w:pPr>
      <w:r w:rsidRPr="008519F0">
        <w:rPr>
          <w:rFonts w:ascii="Times New Roman" w:hAnsi="Times New Roman"/>
          <w:iCs/>
          <w:sz w:val="24"/>
          <w:szCs w:val="17"/>
          <w:lang w:eastAsia="en-US"/>
        </w:rPr>
        <w:t>SUMARIO:</w:t>
      </w:r>
      <w:r>
        <w:rPr>
          <w:rFonts w:ascii="Times New Roman" w:hAnsi="Times New Roman"/>
          <w:iCs/>
          <w:sz w:val="24"/>
          <w:szCs w:val="17"/>
          <w:lang w:eastAsia="en-US"/>
        </w:rPr>
        <w:t xml:space="preserve"> </w:t>
      </w:r>
      <w:r w:rsidRPr="008519F0">
        <w:rPr>
          <w:rFonts w:ascii="Times New Roman" w:hAnsi="Times New Roman"/>
          <w:sz w:val="24"/>
          <w:szCs w:val="17"/>
          <w:lang w:eastAsia="en-US"/>
        </w:rPr>
        <w:t>I. LA DOCTRINA DEL TRIBUNAL DE JUSTICIA DE LA UNIÓN EUROPEA EN LA SENTENCIA DE 30 DE MAYO DE 2013</w:t>
      </w:r>
      <w:proofErr w:type="gramStart"/>
      <w:r w:rsidRPr="008519F0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8519F0">
        <w:rPr>
          <w:rFonts w:ascii="Times New Roman" w:hAnsi="Times New Roman"/>
          <w:sz w:val="24"/>
          <w:szCs w:val="17"/>
          <w:lang w:eastAsia="en-US"/>
        </w:rPr>
        <w:t xml:space="preserve">II. UNA APROXIMACIÓN AL DESISTIMIENTO UNILATERAL </w:t>
      </w:r>
      <w:r w:rsidRPr="008519F0">
        <w:rPr>
          <w:rFonts w:ascii="Times New Roman" w:hAnsi="Times New Roman"/>
          <w:iCs/>
          <w:sz w:val="24"/>
          <w:szCs w:val="17"/>
          <w:lang w:eastAsia="en-US"/>
        </w:rPr>
        <w:t xml:space="preserve">AD NUTUM </w:t>
      </w:r>
      <w:r w:rsidRPr="008519F0">
        <w:rPr>
          <w:rFonts w:ascii="Times New Roman" w:hAnsi="Times New Roman"/>
          <w:sz w:val="24"/>
          <w:szCs w:val="17"/>
          <w:lang w:eastAsia="en-US"/>
        </w:rPr>
        <w:t>DEL ARRENDATARIO</w:t>
      </w:r>
      <w:proofErr w:type="gramStart"/>
      <w:r w:rsidRPr="008519F0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8519F0">
        <w:rPr>
          <w:rFonts w:ascii="Times New Roman" w:hAnsi="Times New Roman"/>
          <w:sz w:val="24"/>
          <w:szCs w:val="17"/>
          <w:lang w:eastAsia="en-US"/>
        </w:rPr>
        <w:t xml:space="preserve">III. LA CLÁUSULA PENAL ANTE EL DESISTIMIENTO UNILATERAL </w:t>
      </w:r>
      <w:r w:rsidRPr="008519F0">
        <w:rPr>
          <w:rFonts w:ascii="Times New Roman" w:hAnsi="Times New Roman"/>
          <w:iCs/>
          <w:sz w:val="24"/>
          <w:szCs w:val="17"/>
          <w:lang w:eastAsia="en-US"/>
        </w:rPr>
        <w:t xml:space="preserve">AD NUTUM </w:t>
      </w:r>
      <w:r w:rsidRPr="008519F0">
        <w:rPr>
          <w:rFonts w:ascii="Times New Roman" w:hAnsi="Times New Roman"/>
          <w:sz w:val="24"/>
          <w:szCs w:val="17"/>
          <w:lang w:eastAsia="en-US"/>
        </w:rPr>
        <w:t>DEL ARRENDATARIO</w:t>
      </w:r>
      <w:proofErr w:type="gramStart"/>
      <w:r w:rsidRPr="008519F0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8519F0">
        <w:rPr>
          <w:rFonts w:ascii="Times New Roman" w:hAnsi="Times New Roman"/>
          <w:sz w:val="24"/>
          <w:szCs w:val="17"/>
          <w:lang w:eastAsia="en-US"/>
        </w:rPr>
        <w:t>IV. EPÍLOGO</w:t>
      </w:r>
      <w:proofErr w:type="gramStart"/>
      <w:r w:rsidRPr="008519F0">
        <w:rPr>
          <w:rFonts w:ascii="Times New Roman" w:hAnsi="Times New Roman"/>
          <w:sz w:val="24"/>
          <w:szCs w:val="17"/>
          <w:lang w:eastAsia="en-US"/>
        </w:rPr>
        <w:t>.—</w:t>
      </w:r>
      <w:proofErr w:type="gramEnd"/>
      <w:r w:rsidRPr="008519F0">
        <w:rPr>
          <w:rFonts w:ascii="Times New Roman" w:hAnsi="Times New Roman"/>
          <w:sz w:val="24"/>
          <w:szCs w:val="17"/>
          <w:lang w:eastAsia="en-US"/>
        </w:rPr>
        <w:t>V. BIBLIOGRAFÍA.—VI. ÍNDICE DE RESOLUCIONES CITADAS.</w:t>
      </w:r>
      <w:bookmarkStart w:id="0" w:name="_GoBack"/>
      <w:bookmarkEnd w:id="0"/>
    </w:p>
    <w:sectPr w:rsidR="00072BCA" w:rsidRPr="00C61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FC"/>
    <w:rsid w:val="00072BCA"/>
    <w:rsid w:val="00C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C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C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2013-11-27T13:37:00Z</dcterms:created>
  <dcterms:modified xsi:type="dcterms:W3CDTF">2013-11-27T13:37:00Z</dcterms:modified>
</cp:coreProperties>
</file>