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B3" w:rsidRPr="00D540B7" w:rsidRDefault="005E64B3" w:rsidP="005E64B3">
      <w:pPr>
        <w:rPr>
          <w:rFonts w:ascii="Times New Roman" w:hAnsi="Times New Roman"/>
          <w:i/>
          <w:iCs/>
          <w:sz w:val="24"/>
          <w:szCs w:val="17"/>
          <w:lang w:eastAsia="en-US"/>
        </w:rPr>
      </w:pPr>
      <w:r w:rsidRPr="00434402">
        <w:rPr>
          <w:rFonts w:ascii="Times New Roman" w:hAnsi="Times New Roman"/>
          <w:iCs/>
          <w:sz w:val="24"/>
          <w:szCs w:val="17"/>
          <w:lang w:eastAsia="en-US"/>
        </w:rPr>
        <w:t>SUMARIO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. </w:t>
      </w:r>
      <w:r w:rsidRPr="00434402">
        <w:rPr>
          <w:rFonts w:ascii="Times New Roman" w:hAnsi="Times New Roman"/>
          <w:sz w:val="24"/>
          <w:szCs w:val="17"/>
          <w:lang w:eastAsia="en-US"/>
        </w:rPr>
        <w:t>I. INTRODUCCIÓN.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34402">
        <w:rPr>
          <w:rFonts w:ascii="Times New Roman" w:hAnsi="Times New Roman"/>
          <w:sz w:val="24"/>
          <w:szCs w:val="17"/>
          <w:lang w:eastAsia="en-US"/>
        </w:rPr>
        <w:t>II. CAPÍTULO I: SUSPENSIÓN DE LANZAMIENTOS: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1. El ámbito temporal.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2. El ámbito de aplicación subjetivo.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34402">
        <w:rPr>
          <w:rFonts w:ascii="Times New Roman" w:hAnsi="Times New Roman"/>
          <w:sz w:val="24"/>
          <w:szCs w:val="17"/>
          <w:lang w:eastAsia="en-US"/>
        </w:rPr>
        <w:t>III. CAPÍTULO II: MEDIDAS DE MEJORA DEL MERCADO HIPOTECARIO: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1. La cuestión de la vivienda habitual.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2. Limitación de los intereses moratorios.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3. Venta extrajudicial.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4. Sociedades de tasación.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5. Advertencia de los riesgos derivados del contrato.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34402">
        <w:rPr>
          <w:rFonts w:ascii="Times New Roman" w:hAnsi="Times New Roman"/>
          <w:sz w:val="24"/>
          <w:szCs w:val="17"/>
          <w:lang w:eastAsia="en-US"/>
        </w:rPr>
        <w:t>IV. CAPÍTULO III: REFORMA DEL PROCEDIMIENTO EJECUTIVO: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1. Modificaciones al ámbito de aplicación de las especialidades de la ejecución hipotecaria: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El importe para subasta no puede ser inferior al 75 por 100 de la tasación previa.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El domicilio en caso de establecimiento mercantil.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2. El control de las cláusulas abusivas: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Análisis de oficio: Despacho de ejecución.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A instancia de parte: Causas de oposición.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C)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 xml:space="preserve">Plazo </w:t>
      </w:r>
      <w:proofErr w:type="gramStart"/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transitorio</w:t>
      </w:r>
      <w:proofErr w:type="gramEnd"/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 xml:space="preserve"> y </w:t>
      </w:r>
      <w:proofErr w:type="spellStart"/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preclusivo</w:t>
      </w:r>
      <w:proofErr w:type="spellEnd"/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 xml:space="preserve"> concedido por la norma.</w:t>
      </w:r>
    </w:p>
    <w:p w:rsidR="00072BCA" w:rsidRPr="005E64B3" w:rsidRDefault="005E64B3">
      <w:pPr>
        <w:rPr>
          <w:rFonts w:ascii="Times New Roman" w:hAnsi="Times New Roman"/>
          <w:sz w:val="24"/>
          <w:szCs w:val="17"/>
          <w:lang w:eastAsia="en-US"/>
        </w:rPr>
      </w:pP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D)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Consecuencias de la declaración del carácter abusivo</w:t>
      </w:r>
      <w:r w:rsidRPr="00434402">
        <w:rPr>
          <w:rFonts w:ascii="Times New Roman" w:hAnsi="Times New Roman"/>
          <w:iCs/>
          <w:sz w:val="24"/>
          <w:szCs w:val="17"/>
          <w:lang w:eastAsia="en-US"/>
        </w:rPr>
        <w:t>.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3. Límite de las costas procesales.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4. Vencimiento anticipado y liberación del bien.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5. Subasta judicial: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Anuncio de subasta.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Inspección del inmueble por tercero interesado.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C)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Requisitos para la puja en subasta.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D)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Subasta desierta</w:t>
      </w:r>
      <w:r w:rsidRPr="00434402">
        <w:rPr>
          <w:rFonts w:ascii="Times New Roman" w:hAnsi="Times New Roman"/>
          <w:iCs/>
          <w:sz w:val="24"/>
          <w:szCs w:val="17"/>
          <w:lang w:eastAsia="en-US"/>
        </w:rPr>
        <w:t>.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6. Imputación de pagos y certificado de deuda.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7. Ejecución dineraria por el remanente.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34402">
        <w:rPr>
          <w:rFonts w:ascii="Times New Roman" w:hAnsi="Times New Roman"/>
          <w:sz w:val="24"/>
          <w:szCs w:val="17"/>
          <w:lang w:eastAsia="en-US"/>
        </w:rPr>
        <w:t>V. MODIFICACIONES AL REAL DECRETO-LEY 6/2012: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1. Ampliación del ámbito de aplicación de la norma: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Umbral de exclusión (art. 3 del RDL 6/2013).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Fiadores.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C)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Se aumenta el valor de adquisición máximo para la aplicación del Código de Buenas Prácticas</w:t>
      </w:r>
      <w:r w:rsidRPr="00434402">
        <w:rPr>
          <w:rFonts w:ascii="Times New Roman" w:hAnsi="Times New Roman"/>
          <w:iCs/>
          <w:sz w:val="24"/>
          <w:szCs w:val="17"/>
          <w:lang w:eastAsia="en-US"/>
        </w:rPr>
        <w:t>.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2. Derecho de exclusión.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3. Intereses moratorios.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434402">
        <w:rPr>
          <w:rFonts w:ascii="Times New Roman" w:hAnsi="Times New Roman"/>
          <w:sz w:val="24"/>
          <w:szCs w:val="17"/>
          <w:lang w:eastAsia="en-US"/>
        </w:rPr>
        <w:t>4. Modificaciones al Código de Buenas Prácticas: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A)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Comisión de control.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B)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Régimen sancionador.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C)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Reestructuración de deudas hipotecarias.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D)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Medidas complementarias.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E)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Dación en pago.</w:t>
      </w:r>
      <w:r>
        <w:rPr>
          <w:rFonts w:ascii="Times New Roman" w:hAnsi="Times New Roman"/>
          <w:i/>
          <w:iCs/>
          <w:sz w:val="24"/>
          <w:szCs w:val="17"/>
          <w:lang w:eastAsia="en-US"/>
        </w:rPr>
        <w:t xml:space="preserve"> </w:t>
      </w:r>
      <w:r w:rsidRPr="00D540B7">
        <w:rPr>
          <w:rFonts w:ascii="Times New Roman" w:hAnsi="Times New Roman"/>
          <w:i/>
          <w:sz w:val="24"/>
          <w:szCs w:val="17"/>
          <w:lang w:eastAsia="en-US"/>
        </w:rPr>
        <w:t xml:space="preserve">F) </w:t>
      </w:r>
      <w:r w:rsidRPr="00D540B7">
        <w:rPr>
          <w:rFonts w:ascii="Times New Roman" w:hAnsi="Times New Roman"/>
          <w:i/>
          <w:iCs/>
          <w:sz w:val="24"/>
          <w:szCs w:val="17"/>
          <w:lang w:eastAsia="en-US"/>
        </w:rPr>
        <w:t>Adhesión al Código de Buenas Prácticas</w:t>
      </w:r>
      <w:r w:rsidRPr="00434402">
        <w:rPr>
          <w:rFonts w:ascii="Times New Roman" w:hAnsi="Times New Roman"/>
          <w:iCs/>
          <w:sz w:val="24"/>
          <w:szCs w:val="17"/>
          <w:lang w:eastAsia="en-US"/>
        </w:rPr>
        <w:t>.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- </w:t>
      </w:r>
      <w:r w:rsidRPr="00434402">
        <w:rPr>
          <w:rFonts w:ascii="Times New Roman" w:hAnsi="Times New Roman"/>
          <w:sz w:val="24"/>
          <w:szCs w:val="17"/>
          <w:lang w:eastAsia="en-US"/>
        </w:rPr>
        <w:t>VI. CONCLUSIONES.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34402">
        <w:rPr>
          <w:rFonts w:ascii="Times New Roman" w:hAnsi="Times New Roman"/>
          <w:sz w:val="24"/>
          <w:szCs w:val="17"/>
          <w:lang w:eastAsia="en-US"/>
        </w:rPr>
        <w:t>VII. BIBLIOGRAFÍA.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434402">
        <w:rPr>
          <w:rFonts w:ascii="Times New Roman" w:hAnsi="Times New Roman"/>
          <w:sz w:val="24"/>
          <w:szCs w:val="17"/>
          <w:lang w:eastAsia="en-US"/>
        </w:rPr>
        <w:t>VIII. JURISPRUDENCIA CONSULTADA.</w:t>
      </w:r>
      <w:bookmarkStart w:id="0" w:name="_GoBack"/>
      <w:bookmarkEnd w:id="0"/>
    </w:p>
    <w:sectPr w:rsidR="00072BCA" w:rsidRPr="005E6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B3"/>
    <w:rsid w:val="00072BCA"/>
    <w:rsid w:val="005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B3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B3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2013-11-25T12:34:00Z</dcterms:created>
  <dcterms:modified xsi:type="dcterms:W3CDTF">2013-11-25T12:35:00Z</dcterms:modified>
</cp:coreProperties>
</file>