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800FA3">
      <w:r w:rsidRPr="00991DFD">
        <w:rPr>
          <w:rFonts w:ascii="Times New Roman" w:hAnsi="Times New Roman"/>
          <w:sz w:val="24"/>
        </w:rPr>
        <w:t>SUMARIO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CONSIDERACIONES PRELIMINARES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PATRIMONIOS EX LEGE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Delimitación y origen moderno del concepto «patrimonio»</w:t>
      </w:r>
      <w:r>
        <w:rPr>
          <w:rFonts w:ascii="Times New Roman" w:hAnsi="Times New Roman"/>
          <w:sz w:val="24"/>
        </w:rPr>
        <w:t xml:space="preserve">: </w:t>
      </w:r>
      <w:r w:rsidRPr="00931459">
        <w:rPr>
          <w:rFonts w:ascii="Times New Roman" w:hAnsi="Times New Roman"/>
          <w:i/>
          <w:sz w:val="24"/>
        </w:rPr>
        <w:t>2.1.1. El patrimonio separado.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2.1.2. Patrimonio separado de afectación.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2.1.3. Patrimonio autónomo sin sujeto titular.</w:t>
      </w:r>
      <w:r>
        <w:rPr>
          <w:rFonts w:ascii="Times New Roman" w:hAnsi="Times New Roman"/>
          <w:i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intervención del Orden Público Económico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creación de patrimonios separados</w:t>
      </w:r>
      <w:r>
        <w:rPr>
          <w:rFonts w:ascii="Times New Roman" w:hAnsi="Times New Roman"/>
          <w:sz w:val="24"/>
        </w:rPr>
        <w:t xml:space="preserve">: </w:t>
      </w:r>
      <w:r w:rsidRPr="00931459">
        <w:rPr>
          <w:rFonts w:ascii="Times New Roman" w:hAnsi="Times New Roman"/>
          <w:i/>
          <w:sz w:val="24"/>
        </w:rPr>
        <w:t>2.2.1. Postulaciones doctrinales en torno al concepto de Orden Público y la libertad de pacto en el contexto de creación de patrimonios separados.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2.2.2. La jurisprudencia del Tribunal Supremo v. Dirección General del Registro y el Notariado: Dicotomía en la cuestión de la relación de Orden Público y la autonomía de la voluntad.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2.2.3. La doctrinal moderna en torno al planteamiento de Orden Público como límite a la voluntad contractual.</w:t>
      </w:r>
      <w:r>
        <w:rPr>
          <w:rFonts w:ascii="Times New Roman" w:hAnsi="Times New Roman"/>
          <w:i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3</w:t>
      </w:r>
      <w:r w:rsidRPr="00991D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Revisión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del principio favor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91DFD">
        <w:rPr>
          <w:rFonts w:ascii="Times New Roman" w:hAnsi="Times New Roman"/>
          <w:sz w:val="24"/>
        </w:rPr>
        <w:t>creditore</w:t>
      </w:r>
      <w:proofErr w:type="spellEnd"/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NOCIÓN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UNITARIA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PROPIEDAD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DERECHO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ESPAÑOL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 concepto de propiedad</w:t>
      </w:r>
      <w:r>
        <w:rPr>
          <w:rFonts w:ascii="Times New Roman" w:hAnsi="Times New Roman"/>
          <w:sz w:val="24"/>
        </w:rPr>
        <w:t xml:space="preserve">: </w:t>
      </w:r>
      <w:r w:rsidRPr="00931459">
        <w:rPr>
          <w:rFonts w:ascii="Times New Roman" w:hAnsi="Times New Roman"/>
          <w:i/>
          <w:sz w:val="24"/>
        </w:rPr>
        <w:t>3.1.1. La unidad en el Derecho real de propiedad.</w:t>
      </w:r>
      <w:r>
        <w:rPr>
          <w:rFonts w:ascii="Times New Roman" w:hAnsi="Times New Roman"/>
          <w:i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Anomalías 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el concepto unitario de propiedad:</w:t>
      </w:r>
      <w:r>
        <w:rPr>
          <w:rFonts w:ascii="Times New Roman" w:hAnsi="Times New Roman"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3.2.1. Usufructo con facultad de disposición.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3.2.2. Enfiteusis.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3.2.3. Multipropiedad.</w:t>
      </w:r>
      <w:r>
        <w:rPr>
          <w:rFonts w:ascii="Times New Roman" w:hAnsi="Times New Roman"/>
          <w:i/>
          <w:sz w:val="24"/>
        </w:rPr>
        <w:t xml:space="preserve"> </w:t>
      </w:r>
      <w:r w:rsidRPr="00931459">
        <w:rPr>
          <w:rFonts w:ascii="Times New Roman" w:hAnsi="Times New Roman"/>
          <w:i/>
          <w:sz w:val="24"/>
        </w:rPr>
        <w:t>3.2.4. Los fondos bursátiles.</w:t>
      </w:r>
      <w:r>
        <w:rPr>
          <w:rFonts w:ascii="Times New Roman" w:hAnsi="Times New Roman"/>
          <w:sz w:val="24"/>
        </w:rPr>
        <w:t xml:space="preserve">- </w:t>
      </w:r>
      <w:r w:rsidRPr="00991DFD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CONCLUSIONES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3"/>
    <w:rsid w:val="00072BCA"/>
    <w:rsid w:val="008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A3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A3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2014-01-23T12:33:00Z</dcterms:created>
  <dcterms:modified xsi:type="dcterms:W3CDTF">2014-01-23T12:33:00Z</dcterms:modified>
</cp:coreProperties>
</file>