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753F11" w:rsidRDefault="00753F11">
      <w:pPr>
        <w:rPr>
          <w:rFonts w:ascii="Times New Roman" w:hAnsi="Times New Roman"/>
          <w:sz w:val="24"/>
          <w:szCs w:val="17"/>
          <w:lang w:eastAsia="en-US"/>
        </w:rPr>
      </w:pPr>
      <w:r w:rsidRPr="006302FE">
        <w:rPr>
          <w:rFonts w:ascii="Times New Roman" w:hAnsi="Times New Roman"/>
          <w:iCs/>
          <w:sz w:val="24"/>
          <w:szCs w:val="17"/>
          <w:lang w:eastAsia="en-US"/>
        </w:rPr>
        <w:t>SUMARIO: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 </w:t>
      </w:r>
      <w:r w:rsidRPr="00DC7778">
        <w:rPr>
          <w:rFonts w:ascii="Times New Roman" w:hAnsi="Times New Roman"/>
          <w:sz w:val="24"/>
          <w:szCs w:val="17"/>
          <w:lang w:eastAsia="en-US"/>
        </w:rPr>
        <w:t>I. LOS TÉRMINOS DE LA RESOLUCIÓN DE 6 DE MARZO DE 2013: 1. S</w:t>
      </w:r>
      <w:r w:rsidRPr="00DC7778">
        <w:rPr>
          <w:rFonts w:ascii="Times New Roman" w:hAnsi="Times New Roman"/>
          <w:sz w:val="24"/>
          <w:szCs w:val="12"/>
          <w:lang w:eastAsia="en-US"/>
        </w:rPr>
        <w:t>obre la inscripción pretendida</w:t>
      </w:r>
      <w:r w:rsidRPr="00DC7778">
        <w:rPr>
          <w:rFonts w:ascii="Times New Roman" w:hAnsi="Times New Roman"/>
          <w:sz w:val="24"/>
          <w:szCs w:val="17"/>
          <w:lang w:eastAsia="en-US"/>
        </w:rPr>
        <w:t xml:space="preserve">, </w:t>
      </w:r>
      <w:r w:rsidRPr="00DC7778">
        <w:rPr>
          <w:rFonts w:ascii="Times New Roman" w:hAnsi="Times New Roman"/>
          <w:sz w:val="24"/>
          <w:szCs w:val="12"/>
          <w:lang w:eastAsia="en-US"/>
        </w:rPr>
        <w:t>la nota de calificación y el recurso respectivo</w:t>
      </w:r>
      <w:r w:rsidRPr="00DC7778">
        <w:rPr>
          <w:rFonts w:ascii="Times New Roman" w:hAnsi="Times New Roman"/>
          <w:sz w:val="24"/>
          <w:szCs w:val="17"/>
          <w:lang w:eastAsia="en-US"/>
        </w:rPr>
        <w:t>. 2. L</w:t>
      </w:r>
      <w:r w:rsidRPr="00DC7778">
        <w:rPr>
          <w:rFonts w:ascii="Times New Roman" w:hAnsi="Times New Roman"/>
          <w:sz w:val="24"/>
          <w:szCs w:val="12"/>
          <w:lang w:eastAsia="en-US"/>
        </w:rPr>
        <w:t xml:space="preserve">a posición de la </w:t>
      </w:r>
      <w:r w:rsidRPr="00DC7778">
        <w:rPr>
          <w:rFonts w:ascii="Times New Roman" w:hAnsi="Times New Roman"/>
          <w:sz w:val="24"/>
          <w:szCs w:val="17"/>
          <w:lang w:eastAsia="en-US"/>
        </w:rPr>
        <w:t>D</w:t>
      </w:r>
      <w:r w:rsidRPr="00DC7778">
        <w:rPr>
          <w:rFonts w:ascii="Times New Roman" w:hAnsi="Times New Roman"/>
          <w:sz w:val="24"/>
          <w:szCs w:val="12"/>
          <w:lang w:eastAsia="en-US"/>
        </w:rPr>
        <w:t xml:space="preserve">irección </w:t>
      </w:r>
      <w:r w:rsidRPr="00DC7778">
        <w:rPr>
          <w:rFonts w:ascii="Times New Roman" w:hAnsi="Times New Roman"/>
          <w:sz w:val="24"/>
          <w:szCs w:val="17"/>
          <w:lang w:eastAsia="en-US"/>
        </w:rPr>
        <w:t>G</w:t>
      </w:r>
      <w:r w:rsidRPr="00DC7778">
        <w:rPr>
          <w:rFonts w:ascii="Times New Roman" w:hAnsi="Times New Roman"/>
          <w:sz w:val="24"/>
          <w:szCs w:val="12"/>
          <w:lang w:eastAsia="en-US"/>
        </w:rPr>
        <w:t>eneral</w:t>
      </w:r>
      <w:proofErr w:type="gramStart"/>
      <w:r w:rsidRPr="00DC7778">
        <w:rPr>
          <w:rFonts w:ascii="Times New Roman" w:hAnsi="Times New Roman"/>
          <w:sz w:val="24"/>
          <w:szCs w:val="17"/>
          <w:lang w:eastAsia="en-US"/>
        </w:rPr>
        <w:t>.—</w:t>
      </w:r>
      <w:proofErr w:type="gramEnd"/>
      <w:r w:rsidRPr="00DC7778">
        <w:rPr>
          <w:rFonts w:ascii="Times New Roman" w:hAnsi="Times New Roman"/>
          <w:sz w:val="24"/>
          <w:szCs w:val="17"/>
          <w:lang w:eastAsia="en-US"/>
        </w:rPr>
        <w:t>II. EL ALCANCE DE LA SENTENCIA DEL TRIBUNAL SUPREMO, DE 19 DE ABRIL DE 2012, CUYA INSCRIPCIÓN FUE RECHAZADA</w:t>
      </w:r>
      <w:proofErr w:type="gramStart"/>
      <w:r w:rsidRPr="00DC7778">
        <w:rPr>
          <w:rFonts w:ascii="Times New Roman" w:hAnsi="Times New Roman"/>
          <w:sz w:val="24"/>
          <w:szCs w:val="17"/>
          <w:lang w:eastAsia="en-US"/>
        </w:rPr>
        <w:t>.—</w:t>
      </w:r>
      <w:proofErr w:type="gramEnd"/>
      <w:r w:rsidRPr="00DC7778">
        <w:rPr>
          <w:rFonts w:ascii="Times New Roman" w:hAnsi="Times New Roman"/>
          <w:sz w:val="24"/>
          <w:szCs w:val="17"/>
          <w:lang w:eastAsia="en-US"/>
        </w:rPr>
        <w:t>III. SOBRE EL ACCESO AL REGISTRO DE SENTENCIAS ANULATORIAS DE INSTRUMENTOS DE PLANEAMIENTO: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DC7778">
        <w:rPr>
          <w:rFonts w:ascii="Times New Roman" w:hAnsi="Times New Roman"/>
          <w:sz w:val="24"/>
          <w:szCs w:val="17"/>
          <w:lang w:eastAsia="en-US"/>
        </w:rPr>
        <w:t>1. E</w:t>
      </w:r>
      <w:r w:rsidRPr="00DC7778">
        <w:rPr>
          <w:rFonts w:ascii="Times New Roman" w:hAnsi="Times New Roman"/>
          <w:sz w:val="24"/>
          <w:szCs w:val="12"/>
          <w:lang w:eastAsia="en-US"/>
        </w:rPr>
        <w:t>l alcance de la objeción planteada en la resolución en orden a la inscripción de las sentencias firmes anulatorias de instrumentos de planeamiento</w:t>
      </w:r>
      <w:r w:rsidRPr="00DC7778">
        <w:rPr>
          <w:rFonts w:ascii="Times New Roman" w:hAnsi="Times New Roman"/>
          <w:sz w:val="24"/>
          <w:szCs w:val="17"/>
          <w:lang w:eastAsia="en-US"/>
        </w:rPr>
        <w:t>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DC7778">
        <w:rPr>
          <w:rFonts w:ascii="Times New Roman" w:hAnsi="Times New Roman"/>
          <w:sz w:val="24"/>
          <w:szCs w:val="17"/>
          <w:lang w:eastAsia="en-US"/>
        </w:rPr>
        <w:t>2. L</w:t>
      </w:r>
      <w:r w:rsidRPr="00DC7778">
        <w:rPr>
          <w:rFonts w:ascii="Times New Roman" w:hAnsi="Times New Roman"/>
          <w:sz w:val="24"/>
          <w:szCs w:val="12"/>
          <w:lang w:eastAsia="en-US"/>
        </w:rPr>
        <w:t>as previsiones legales y reglamentarias al respecto</w:t>
      </w:r>
      <w:r w:rsidRPr="00DC7778">
        <w:rPr>
          <w:rFonts w:ascii="Times New Roman" w:hAnsi="Times New Roman"/>
          <w:sz w:val="24"/>
          <w:szCs w:val="17"/>
          <w:lang w:eastAsia="en-US"/>
        </w:rPr>
        <w:t>. 3. L</w:t>
      </w:r>
      <w:r w:rsidRPr="00DC7778">
        <w:rPr>
          <w:rFonts w:ascii="Times New Roman" w:hAnsi="Times New Roman"/>
          <w:sz w:val="24"/>
          <w:szCs w:val="12"/>
          <w:lang w:eastAsia="en-US"/>
        </w:rPr>
        <w:t>os instrumentos de planeamiento nunca</w:t>
      </w:r>
      <w:r w:rsidRPr="00DC7778">
        <w:rPr>
          <w:rFonts w:ascii="Times New Roman" w:hAnsi="Times New Roman"/>
          <w:sz w:val="24"/>
          <w:szCs w:val="17"/>
          <w:lang w:eastAsia="en-US"/>
        </w:rPr>
        <w:t xml:space="preserve">, </w:t>
      </w:r>
      <w:r w:rsidRPr="00DC7778">
        <w:rPr>
          <w:rFonts w:ascii="Times New Roman" w:hAnsi="Times New Roman"/>
          <w:sz w:val="24"/>
          <w:szCs w:val="12"/>
          <w:lang w:eastAsia="en-US"/>
        </w:rPr>
        <w:t>por definición</w:t>
      </w:r>
      <w:r w:rsidRPr="00DC7778">
        <w:rPr>
          <w:rFonts w:ascii="Times New Roman" w:hAnsi="Times New Roman"/>
          <w:sz w:val="24"/>
          <w:szCs w:val="17"/>
          <w:lang w:eastAsia="en-US"/>
        </w:rPr>
        <w:t xml:space="preserve">, </w:t>
      </w:r>
      <w:r w:rsidRPr="00DC7778">
        <w:rPr>
          <w:rFonts w:ascii="Times New Roman" w:hAnsi="Times New Roman"/>
          <w:sz w:val="24"/>
          <w:szCs w:val="12"/>
          <w:lang w:eastAsia="en-US"/>
        </w:rPr>
        <w:t>dan lugar por sí mismos a mutación jurídico</w:t>
      </w:r>
      <w:r>
        <w:rPr>
          <w:rFonts w:ascii="Times New Roman" w:hAnsi="Times New Roman"/>
          <w:sz w:val="24"/>
          <w:szCs w:val="12"/>
          <w:lang w:eastAsia="en-US"/>
        </w:rPr>
        <w:t xml:space="preserve"> </w:t>
      </w:r>
      <w:r w:rsidRPr="00DC7778">
        <w:rPr>
          <w:rFonts w:ascii="Times New Roman" w:hAnsi="Times New Roman"/>
          <w:sz w:val="24"/>
          <w:szCs w:val="12"/>
          <w:lang w:eastAsia="en-US"/>
        </w:rPr>
        <w:t>real o descriptiva alguna en relación con las fincas en ellos ordenadas</w:t>
      </w:r>
      <w:r w:rsidRPr="00DC7778">
        <w:rPr>
          <w:rFonts w:ascii="Times New Roman" w:hAnsi="Times New Roman"/>
          <w:sz w:val="24"/>
          <w:szCs w:val="17"/>
          <w:lang w:eastAsia="en-US"/>
        </w:rPr>
        <w:t>. 4. E</w:t>
      </w:r>
      <w:r w:rsidRPr="00DC7778">
        <w:rPr>
          <w:rFonts w:ascii="Times New Roman" w:hAnsi="Times New Roman"/>
          <w:sz w:val="24"/>
          <w:szCs w:val="12"/>
          <w:lang w:eastAsia="en-US"/>
        </w:rPr>
        <w:t xml:space="preserve">l posible acceso al </w:t>
      </w:r>
      <w:r w:rsidRPr="00DC7778">
        <w:rPr>
          <w:rFonts w:ascii="Times New Roman" w:hAnsi="Times New Roman"/>
          <w:sz w:val="24"/>
          <w:szCs w:val="17"/>
          <w:lang w:eastAsia="en-US"/>
        </w:rPr>
        <w:t>R</w:t>
      </w:r>
      <w:r w:rsidRPr="00DC7778">
        <w:rPr>
          <w:rFonts w:ascii="Times New Roman" w:hAnsi="Times New Roman"/>
          <w:sz w:val="24"/>
          <w:szCs w:val="12"/>
          <w:lang w:eastAsia="en-US"/>
        </w:rPr>
        <w:t>egistro de las sentencias anulatorias de instrumentos de planeamiento como consecuencia lógica de la admisión de la anotación preventiva en los procesos respectivos</w:t>
      </w:r>
      <w:r w:rsidRPr="00DC7778">
        <w:rPr>
          <w:rFonts w:ascii="Times New Roman" w:hAnsi="Times New Roman"/>
          <w:sz w:val="24"/>
          <w:szCs w:val="17"/>
          <w:lang w:eastAsia="en-US"/>
        </w:rPr>
        <w:t>. 5. R</w:t>
      </w:r>
      <w:r w:rsidRPr="00DC7778">
        <w:rPr>
          <w:rFonts w:ascii="Times New Roman" w:hAnsi="Times New Roman"/>
          <w:sz w:val="24"/>
          <w:szCs w:val="12"/>
          <w:lang w:eastAsia="en-US"/>
        </w:rPr>
        <w:t xml:space="preserve">eferencia al caso contemplado en la </w:t>
      </w:r>
      <w:r w:rsidRPr="00DC7778">
        <w:rPr>
          <w:rFonts w:ascii="Times New Roman" w:hAnsi="Times New Roman"/>
          <w:sz w:val="24"/>
          <w:szCs w:val="17"/>
          <w:lang w:eastAsia="en-US"/>
        </w:rPr>
        <w:t>R</w:t>
      </w:r>
      <w:r w:rsidRPr="00DC7778">
        <w:rPr>
          <w:rFonts w:ascii="Times New Roman" w:hAnsi="Times New Roman"/>
          <w:sz w:val="24"/>
          <w:szCs w:val="12"/>
          <w:lang w:eastAsia="en-US"/>
        </w:rPr>
        <w:t xml:space="preserve">esolución de </w:t>
      </w:r>
      <w:r w:rsidRPr="00DC7778">
        <w:rPr>
          <w:rFonts w:ascii="Times New Roman" w:hAnsi="Times New Roman"/>
          <w:sz w:val="24"/>
          <w:szCs w:val="17"/>
          <w:lang w:eastAsia="en-US"/>
        </w:rPr>
        <w:t xml:space="preserve">6 </w:t>
      </w:r>
      <w:r w:rsidRPr="00DC7778">
        <w:rPr>
          <w:rFonts w:ascii="Times New Roman" w:hAnsi="Times New Roman"/>
          <w:sz w:val="24"/>
          <w:szCs w:val="12"/>
          <w:lang w:eastAsia="en-US"/>
        </w:rPr>
        <w:t xml:space="preserve">de marzo de </w:t>
      </w:r>
      <w:r w:rsidRPr="00DC7778">
        <w:rPr>
          <w:rFonts w:ascii="Times New Roman" w:hAnsi="Times New Roman"/>
          <w:sz w:val="24"/>
          <w:szCs w:val="17"/>
          <w:lang w:eastAsia="en-US"/>
        </w:rPr>
        <w:t>2013. 6. C</w:t>
      </w:r>
      <w:r w:rsidRPr="00DC7778">
        <w:rPr>
          <w:rFonts w:ascii="Times New Roman" w:hAnsi="Times New Roman"/>
          <w:sz w:val="24"/>
          <w:szCs w:val="12"/>
          <w:lang w:eastAsia="en-US"/>
        </w:rPr>
        <w:t xml:space="preserve">onsideración final sobre las fincas afectadas por la inscripción de la sentencia del </w:t>
      </w:r>
      <w:r w:rsidRPr="00DC7778">
        <w:rPr>
          <w:rFonts w:ascii="Times New Roman" w:hAnsi="Times New Roman"/>
          <w:sz w:val="24"/>
          <w:szCs w:val="17"/>
          <w:lang w:eastAsia="en-US"/>
        </w:rPr>
        <w:t>T</w:t>
      </w:r>
      <w:r w:rsidRPr="00DC7778">
        <w:rPr>
          <w:rFonts w:ascii="Times New Roman" w:hAnsi="Times New Roman"/>
          <w:sz w:val="24"/>
          <w:szCs w:val="12"/>
          <w:lang w:eastAsia="en-US"/>
        </w:rPr>
        <w:t xml:space="preserve">ribunal </w:t>
      </w:r>
      <w:r w:rsidRPr="00DC7778">
        <w:rPr>
          <w:rFonts w:ascii="Times New Roman" w:hAnsi="Times New Roman"/>
          <w:sz w:val="24"/>
          <w:szCs w:val="17"/>
          <w:lang w:eastAsia="en-US"/>
        </w:rPr>
        <w:t>S</w:t>
      </w:r>
      <w:r w:rsidRPr="00DC7778">
        <w:rPr>
          <w:rFonts w:ascii="Times New Roman" w:hAnsi="Times New Roman"/>
          <w:sz w:val="24"/>
          <w:szCs w:val="12"/>
          <w:lang w:eastAsia="en-US"/>
        </w:rPr>
        <w:t>upremo</w:t>
      </w:r>
      <w:r w:rsidRPr="00DC7778">
        <w:rPr>
          <w:rFonts w:ascii="Times New Roman" w:hAnsi="Times New Roman"/>
          <w:sz w:val="24"/>
          <w:szCs w:val="17"/>
          <w:lang w:eastAsia="en-US"/>
        </w:rPr>
        <w:t>.</w:t>
      </w:r>
      <w:bookmarkStart w:id="0" w:name="_GoBack"/>
      <w:bookmarkEnd w:id="0"/>
    </w:p>
    <w:sectPr w:rsidR="00072BCA" w:rsidRPr="00753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1"/>
    <w:rsid w:val="00072BCA"/>
    <w:rsid w:val="0075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11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11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2013-11-27T13:44:00Z</dcterms:created>
  <dcterms:modified xsi:type="dcterms:W3CDTF">2013-11-27T13:45:00Z</dcterms:modified>
</cp:coreProperties>
</file>