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8633DD" w:rsidP="008633DD">
      <w:pPr>
        <w:jc w:val="both"/>
      </w:pPr>
      <w:r w:rsidRPr="00123DD6">
        <w:t>SUMARIO</w:t>
      </w:r>
      <w:proofErr w:type="gramStart"/>
      <w:r w:rsidRPr="00123DD6">
        <w:t>:—</w:t>
      </w:r>
      <w:proofErr w:type="gramEnd"/>
      <w:r w:rsidRPr="00123DD6">
        <w:t>I. PLANTEAMIENTO DE LA CUESTIÓN: SUPRESIÓN DE LA PENSIÓN DE ALIMENTOS, HIJOS MAYORES DE EDAD Y DISCAPACITADOS.—II. POSICIÓN PREVIA DEL TRIBUNAL SUPREMO</w:t>
      </w:r>
      <w:proofErr w:type="gramStart"/>
      <w:r w:rsidRPr="00123DD6">
        <w:t>.—</w:t>
      </w:r>
      <w:proofErr w:type="gramEnd"/>
      <w:r w:rsidRPr="00123DD6">
        <w:t>III. EL MINISTERIO FISCAL Y LOS DISCAPACITADOS</w:t>
      </w:r>
      <w:proofErr w:type="gramStart"/>
      <w:r w:rsidRPr="00123DD6">
        <w:t>.—</w:t>
      </w:r>
      <w:proofErr w:type="gramEnd"/>
      <w:r w:rsidRPr="00123DD6">
        <w:t>IV. EL DERECHO DE ALIMENTOS Y LA PENSIÓN DE INVALIDEZ</w:t>
      </w:r>
      <w:proofErr w:type="gramStart"/>
      <w:r w:rsidRPr="00123DD6">
        <w:t>.—</w:t>
      </w:r>
      <w:proofErr w:type="gramEnd"/>
      <w:r w:rsidRPr="00123DD6">
        <w:t>V. EL CONTENIDO ÉTICO DEL DERECHO DE ALIMENTOS EN EL CASO DE DISCAPACIDAD.—VI. REHABILITACIÓN DE LA PATRIA POTESTAD</w:t>
      </w:r>
      <w:proofErr w:type="gramStart"/>
      <w:r w:rsidRPr="00123DD6">
        <w:t>.—</w:t>
      </w:r>
      <w:proofErr w:type="gramEnd"/>
      <w:r w:rsidRPr="00123DD6">
        <w:t>VII. JU</w:t>
      </w:r>
      <w:r>
        <w:t>RISPRUDENCIA DE LAS AUDIENCIAS</w:t>
      </w:r>
      <w:proofErr w:type="gramStart"/>
      <w:r>
        <w:t>.</w:t>
      </w:r>
      <w:r w:rsidRPr="00123DD6">
        <w:t>—</w:t>
      </w:r>
      <w:proofErr w:type="gramEnd"/>
      <w:r w:rsidRPr="00123DD6">
        <w:t>VIII. EL SUPUESTO DE LA PERC</w:t>
      </w:r>
      <w:r>
        <w:t>EPCIÓN DE UNA PENSIÓN NO CONTRI</w:t>
      </w:r>
      <w:r w:rsidRPr="00123DD6">
        <w:t>BUTIVA POR EL HIJO DISCAPACITA</w:t>
      </w:r>
      <w:r>
        <w:t>DO</w:t>
      </w:r>
      <w:proofErr w:type="gramStart"/>
      <w:r>
        <w:t>.—</w:t>
      </w:r>
      <w:proofErr w:type="gramEnd"/>
      <w:r>
        <w:t>IX. CONCLUSIONES</w:t>
      </w:r>
      <w:proofErr w:type="gramStart"/>
      <w:r>
        <w:t>.—</w:t>
      </w:r>
      <w:proofErr w:type="gramEnd"/>
      <w:r>
        <w:t>X. BIBLIO</w:t>
      </w:r>
      <w:r w:rsidRPr="00123DD6">
        <w:t xml:space="preserve">GRAFÍA.—XI. ÍNDICE DE SENTENCIAS (del TC, </w:t>
      </w:r>
      <w:proofErr w:type="spellStart"/>
      <w:r w:rsidRPr="00123DD6">
        <w:t>TS</w:t>
      </w:r>
      <w:proofErr w:type="spellEnd"/>
      <w:r w:rsidRPr="00123DD6">
        <w:t xml:space="preserve">, </w:t>
      </w:r>
      <w:proofErr w:type="spellStart"/>
      <w:r w:rsidRPr="00123DD6">
        <w:t>TSJ</w:t>
      </w:r>
      <w:proofErr w:type="spellEnd"/>
      <w:r w:rsidRPr="00123DD6">
        <w:t>, y AP) CITADAS POR ORDEN CRONOLÓGICO</w:t>
      </w:r>
      <w:proofErr w:type="gramStart"/>
      <w:r w:rsidRPr="00123DD6">
        <w:t>.—</w:t>
      </w:r>
      <w:proofErr w:type="gramEnd"/>
      <w:r w:rsidRPr="00123DD6">
        <w:t>XII. LEGISLACIÓN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DD"/>
    <w:rsid w:val="004C08CB"/>
    <w:rsid w:val="008633DD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D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D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2015-04-22T07:51:00Z</dcterms:created>
  <dcterms:modified xsi:type="dcterms:W3CDTF">2015-04-22T07:51:00Z</dcterms:modified>
</cp:coreProperties>
</file>