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E50448" w:rsidP="00E50448">
      <w:pPr>
        <w:spacing w:after="0"/>
        <w:contextualSpacing/>
        <w:jc w:val="both"/>
      </w:pPr>
      <w:r w:rsidRPr="00A510B3">
        <w:rPr>
          <w:rFonts w:ascii="Times New Roman" w:hAnsi="Times New Roman"/>
        </w:rPr>
        <w:t>SUMARIO:</w:t>
      </w:r>
      <w:r>
        <w:rPr>
          <w:rFonts w:ascii="Times New Roman" w:hAnsi="Times New Roman"/>
        </w:rPr>
        <w:t xml:space="preserve"> </w:t>
      </w:r>
      <w:r w:rsidRPr="00A510B3">
        <w:rPr>
          <w:rFonts w:ascii="Times New Roman" w:hAnsi="Times New Roman"/>
        </w:rPr>
        <w:t>I. INTRODUCCIÓN.-II. LA DIFÍCIL ADAPTACIÓN DEL ARTÍCULO 12 DE LA CONVENCIÓN ONU SOBRE LOS DERECHOS DE LAS PERSONAS CON DISCAPACIDAD A NUESTRO ORDENAMIENTO JURÍDICO</w:t>
      </w:r>
      <w:proofErr w:type="gramStart"/>
      <w:r w:rsidRPr="00A510B3">
        <w:rPr>
          <w:rFonts w:ascii="Times New Roman" w:hAnsi="Times New Roman"/>
        </w:rPr>
        <w:t>.—</w:t>
      </w:r>
      <w:proofErr w:type="gramEnd"/>
      <w:r>
        <w:rPr>
          <w:rFonts w:ascii="Times New Roman" w:hAnsi="Times New Roman"/>
        </w:rPr>
        <w:t>III</w:t>
      </w:r>
      <w:r w:rsidRPr="00A510B3">
        <w:rPr>
          <w:rFonts w:ascii="Times New Roman" w:hAnsi="Times New Roman"/>
        </w:rPr>
        <w:t xml:space="preserve">. SEGURIDAD JURÍDICA QUE OFRECE NUESTRO ACTUAL PROCEDIMIENTO DE INCAPACITACIÓN A LAS PERSONAS CON DISCAPACIDAD.-IV. RAZONES POR LAS QUE INCLINARNOS POR LA CURATELA COMO MEDIO DE ADAPTACIÓN DEL ARTÍCULO 12 A NUESTRO ORDENAMIENTO: 1. Gran similitud entre la figura de la curatela y la del administrador de apoyo italiano. 2. </w:t>
      </w:r>
      <w:r>
        <w:rPr>
          <w:rFonts w:ascii="Times New Roman" w:hAnsi="Times New Roman"/>
        </w:rPr>
        <w:t>P</w:t>
      </w:r>
      <w:r w:rsidRPr="00A510B3">
        <w:rPr>
          <w:rFonts w:ascii="Times New Roman" w:hAnsi="Times New Roman"/>
        </w:rPr>
        <w:t xml:space="preserve">osibilidad de aplicar la curatela tanto en el ámbito personal como en el ámbito patrimonial de las personas necesitadas de protección. 3. </w:t>
      </w:r>
      <w:r>
        <w:rPr>
          <w:rFonts w:ascii="Times New Roman" w:hAnsi="Times New Roman"/>
        </w:rPr>
        <w:t>R</w:t>
      </w:r>
      <w:r w:rsidRPr="00A510B3">
        <w:rPr>
          <w:rFonts w:ascii="Times New Roman" w:hAnsi="Times New Roman"/>
        </w:rPr>
        <w:t xml:space="preserve">econocimiento y aceptación de la figura de la tutela por la convención en su artículo 23.2. 4. </w:t>
      </w:r>
      <w:r>
        <w:rPr>
          <w:rFonts w:ascii="Times New Roman" w:hAnsi="Times New Roman"/>
        </w:rPr>
        <w:t>S</w:t>
      </w:r>
      <w:r w:rsidRPr="00A510B3">
        <w:rPr>
          <w:rFonts w:ascii="Times New Roman" w:hAnsi="Times New Roman"/>
        </w:rPr>
        <w:t xml:space="preserve">entencia  del </w:t>
      </w:r>
      <w:r>
        <w:rPr>
          <w:rFonts w:ascii="Times New Roman" w:hAnsi="Times New Roman"/>
        </w:rPr>
        <w:t>T</w:t>
      </w:r>
      <w:r w:rsidRPr="00A510B3">
        <w:rPr>
          <w:rFonts w:ascii="Times New Roman" w:hAnsi="Times New Roman"/>
        </w:rPr>
        <w:t xml:space="preserve">ribunal </w:t>
      </w:r>
      <w:r>
        <w:rPr>
          <w:rFonts w:ascii="Times New Roman" w:hAnsi="Times New Roman"/>
        </w:rPr>
        <w:t>S</w:t>
      </w:r>
      <w:r w:rsidRPr="00A510B3">
        <w:rPr>
          <w:rFonts w:ascii="Times New Roman" w:hAnsi="Times New Roman"/>
        </w:rPr>
        <w:t xml:space="preserve">upremo 228/2009, </w:t>
      </w:r>
      <w:r>
        <w:rPr>
          <w:rFonts w:ascii="Times New Roman" w:hAnsi="Times New Roman"/>
        </w:rPr>
        <w:t>S</w:t>
      </w:r>
      <w:r w:rsidRPr="00A510B3">
        <w:rPr>
          <w:rFonts w:ascii="Times New Roman" w:hAnsi="Times New Roman"/>
        </w:rPr>
        <w:t xml:space="preserve">ala </w:t>
      </w:r>
      <w:r>
        <w:rPr>
          <w:rFonts w:ascii="Times New Roman" w:hAnsi="Times New Roman"/>
        </w:rPr>
        <w:t>P</w:t>
      </w:r>
      <w:r w:rsidRPr="00A510B3">
        <w:rPr>
          <w:rFonts w:ascii="Times New Roman" w:hAnsi="Times New Roman"/>
        </w:rPr>
        <w:t xml:space="preserve">rimera, de lo </w:t>
      </w:r>
      <w:r>
        <w:rPr>
          <w:rFonts w:ascii="Times New Roman" w:hAnsi="Times New Roman"/>
        </w:rPr>
        <w:t>C</w:t>
      </w:r>
      <w:r w:rsidRPr="00A510B3">
        <w:rPr>
          <w:rFonts w:ascii="Times New Roman" w:hAnsi="Times New Roman"/>
        </w:rPr>
        <w:t xml:space="preserve">ivil. 5. </w:t>
      </w:r>
      <w:r>
        <w:rPr>
          <w:rFonts w:ascii="Times New Roman" w:hAnsi="Times New Roman"/>
        </w:rPr>
        <w:t>S</w:t>
      </w:r>
      <w:r w:rsidRPr="00A510B3">
        <w:rPr>
          <w:rFonts w:ascii="Times New Roman" w:hAnsi="Times New Roman"/>
        </w:rPr>
        <w:t xml:space="preserve">entencia del </w:t>
      </w:r>
      <w:r>
        <w:rPr>
          <w:rFonts w:ascii="Times New Roman" w:hAnsi="Times New Roman"/>
        </w:rPr>
        <w:t>T</w:t>
      </w:r>
      <w:r w:rsidRPr="00A510B3">
        <w:rPr>
          <w:rFonts w:ascii="Times New Roman" w:hAnsi="Times New Roman"/>
        </w:rPr>
        <w:t xml:space="preserve">ribunal </w:t>
      </w:r>
      <w:r>
        <w:rPr>
          <w:rFonts w:ascii="Times New Roman" w:hAnsi="Times New Roman"/>
        </w:rPr>
        <w:t>S</w:t>
      </w:r>
      <w:r w:rsidRPr="00A510B3">
        <w:rPr>
          <w:rFonts w:ascii="Times New Roman" w:hAnsi="Times New Roman"/>
        </w:rPr>
        <w:t xml:space="preserve">upremo 421/2013, </w:t>
      </w:r>
      <w:r>
        <w:rPr>
          <w:rFonts w:ascii="Times New Roman" w:hAnsi="Times New Roman"/>
        </w:rPr>
        <w:t>S</w:t>
      </w:r>
      <w:r w:rsidRPr="00A510B3">
        <w:rPr>
          <w:rFonts w:ascii="Times New Roman" w:hAnsi="Times New Roman"/>
        </w:rPr>
        <w:t xml:space="preserve">ala </w:t>
      </w:r>
      <w:r>
        <w:rPr>
          <w:rFonts w:ascii="Times New Roman" w:hAnsi="Times New Roman"/>
        </w:rPr>
        <w:t>Primera, de lo C</w:t>
      </w:r>
      <w:r w:rsidRPr="00A510B3">
        <w:rPr>
          <w:rFonts w:ascii="Times New Roman" w:hAnsi="Times New Roman"/>
        </w:rPr>
        <w:t>ivil</w:t>
      </w:r>
      <w:proofErr w:type="gramStart"/>
      <w:r w:rsidRPr="00A510B3">
        <w:rPr>
          <w:rFonts w:ascii="Times New Roman" w:hAnsi="Times New Roman"/>
        </w:rPr>
        <w:t>.—</w:t>
      </w:r>
      <w:proofErr w:type="gramEnd"/>
      <w:r w:rsidRPr="00A510B3">
        <w:rPr>
          <w:rFonts w:ascii="Times New Roman" w:hAnsi="Times New Roman"/>
        </w:rPr>
        <w:t>V. ALGUNAS MODIFICACIONES NECESARIAS EN EL ACTUAL PROCEDIMIENTO DE INCAPA</w:t>
      </w:r>
      <w:r>
        <w:rPr>
          <w:rFonts w:ascii="Times New Roman" w:hAnsi="Times New Roman"/>
        </w:rPr>
        <w:t>CITACIÓN.</w:t>
      </w:r>
      <w:r w:rsidRPr="00A510B3">
        <w:rPr>
          <w:rFonts w:ascii="Times New Roman" w:hAnsi="Times New Roman"/>
        </w:rPr>
        <w:t>—VI. CONCLUSIONES.-VII. BIBLIOGRAFÍA.-VIII. ÍNDICE DE RESOLUCIONES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48"/>
    <w:rsid w:val="004C08CB"/>
    <w:rsid w:val="00AE6146"/>
    <w:rsid w:val="00E5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48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48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2015-07-23T12:14:00Z</dcterms:created>
  <dcterms:modified xsi:type="dcterms:W3CDTF">2015-07-23T12:15:00Z</dcterms:modified>
</cp:coreProperties>
</file>