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65660" w:rsidP="00365660">
      <w:pPr>
        <w:jc w:val="both"/>
      </w:pPr>
      <w:r w:rsidRPr="007B58A7">
        <w:t>SUMARIO: I. DAÑO CIERTO: 1. EL DAÑO Y SU PRUEBA. 2. CALIFICACIÓN DEL DAÑO: A. Daño moral. B. Daño patrimonial. C. Apreciación</w:t>
      </w:r>
      <w:proofErr w:type="gramStart"/>
      <w:r w:rsidRPr="007B58A7">
        <w:t>.—</w:t>
      </w:r>
      <w:proofErr w:type="gramEnd"/>
      <w:r w:rsidRPr="007B58A7">
        <w:t>II. NEXO DE CAUSALIDAD</w:t>
      </w:r>
      <w:proofErr w:type="gramStart"/>
      <w:r w:rsidRPr="007B58A7">
        <w:t>.—</w:t>
      </w:r>
      <w:proofErr w:type="gramEnd"/>
      <w:r w:rsidRPr="007B58A7">
        <w:t xml:space="preserve">III. CUANTIFICACIÓN DEL DAÑO: 1. DAÑO MORAL. 2. DAÑO MORAL Y DAÑO MATERIAL. 3. CRITERIO DE </w:t>
      </w:r>
      <w:proofErr w:type="spellStart"/>
      <w:r w:rsidRPr="007B58A7">
        <w:t>PROSPERABILIDAD</w:t>
      </w:r>
      <w:proofErr w:type="spellEnd"/>
      <w:r w:rsidRPr="007B58A7">
        <w:t xml:space="preserve"> DE LA ACCIÓN FRUSTRADA. 4. IMPORTE DE LA INDEMNIZACIÓN</w:t>
      </w:r>
      <w:proofErr w:type="gramStart"/>
      <w:r w:rsidRPr="007B58A7">
        <w:t>.—</w:t>
      </w:r>
      <w:proofErr w:type="gramEnd"/>
      <w:r w:rsidRPr="007B58A7">
        <w:t>I</w:t>
      </w:r>
      <w:r>
        <w:t>V. RESPONSABILIDAD CONTRACTUAL</w:t>
      </w:r>
      <w:proofErr w:type="gramStart"/>
      <w:r>
        <w:t>.</w:t>
      </w:r>
      <w:r w:rsidRPr="007B58A7">
        <w:t>—</w:t>
      </w:r>
      <w:proofErr w:type="gramEnd"/>
      <w:r w:rsidRPr="007B58A7">
        <w:t>V. CONCLUSIONES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60"/>
    <w:rsid w:val="00365660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6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6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2015-04-22T08:31:00Z</dcterms:created>
  <dcterms:modified xsi:type="dcterms:W3CDTF">2015-04-22T08:31:00Z</dcterms:modified>
</cp:coreProperties>
</file>