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3D00D1" w:rsidP="003D00D1">
      <w:pPr>
        <w:jc w:val="both"/>
      </w:pPr>
      <w:r w:rsidRPr="00D316A5">
        <w:t xml:space="preserve">SUMARIO: </w:t>
      </w:r>
      <w:r>
        <w:t xml:space="preserve">I. CUESTIONES PRELIMINARES: 1. </w:t>
      </w:r>
      <w:r w:rsidRPr="00A23DCC">
        <w:rPr>
          <w:smallCaps/>
        </w:rPr>
        <w:t>La fiscalidad de las sucesiones en España</w:t>
      </w:r>
      <w:r w:rsidRPr="00D316A5">
        <w:t xml:space="preserve">: A. El hecho imponible del impuesto con especial referencia a las presunciones iuris tantum y a los bienes </w:t>
      </w:r>
      <w:proofErr w:type="spellStart"/>
      <w:r w:rsidRPr="00D316A5">
        <w:t>adicionables</w:t>
      </w:r>
      <w:proofErr w:type="spellEnd"/>
      <w:r w:rsidRPr="00D316A5">
        <w:t xml:space="preserve"> a la herencia</w:t>
      </w:r>
      <w:r w:rsidRPr="00A23DCC">
        <w:rPr>
          <w:i/>
        </w:rPr>
        <w:t xml:space="preserve">: a) Presunciones de hecho imponible. b) Bienes </w:t>
      </w:r>
      <w:proofErr w:type="spellStart"/>
      <w:r w:rsidRPr="00A23DCC">
        <w:rPr>
          <w:i/>
        </w:rPr>
        <w:t>adicionables</w:t>
      </w:r>
      <w:proofErr w:type="spellEnd"/>
      <w:r w:rsidRPr="00A23DCC">
        <w:rPr>
          <w:i/>
        </w:rPr>
        <w:t xml:space="preserve"> a la herencia. c) Valoración del usufructo constituido en favor de los cónyuges y de la transmisión de la nuda propiedad</w:t>
      </w:r>
      <w:r w:rsidRPr="00D316A5">
        <w:t xml:space="preserve">. B. Evolución de la recaudación obtenida por el impuesto en los últimos cuatro años y legislación aplicable: </w:t>
      </w:r>
      <w:r w:rsidRPr="00A23DCC">
        <w:rPr>
          <w:i/>
        </w:rPr>
        <w:t>a) Reducciones aplicables en las Comunidades Autónomas. b) Reducciones aplicables a los sujetos pasivos no residentes en España. c) Efectos de la sentencia del Tribunal de Justicia de la Unión Europea de 3 de septiembre de 2014</w:t>
      </w:r>
      <w:proofErr w:type="gramStart"/>
      <w:r w:rsidRPr="00A23DCC">
        <w:rPr>
          <w:i/>
        </w:rPr>
        <w:t>.</w:t>
      </w:r>
      <w:r w:rsidRPr="00D316A5">
        <w:t>—</w:t>
      </w:r>
      <w:proofErr w:type="gramEnd"/>
      <w:r w:rsidRPr="00D316A5">
        <w:t xml:space="preserve">II. TRANSMISIONES ENTRE CÓNYUGES DISUELTA LA SOCIEDAD CONYUGAL: 1. </w:t>
      </w:r>
      <w:r w:rsidRPr="00A23DCC">
        <w:rPr>
          <w:smallCaps/>
        </w:rPr>
        <w:t>Tratamiento fiscal de las transmisiones entre parejas de hecho. 2. Pensión compensatoria y disolución de la sociedad conyugal: aspectos fiscales</w:t>
      </w:r>
      <w:r w:rsidRPr="00D316A5">
        <w:t>: A. Regímenes económico-matrimoniales y pensión compensator</w:t>
      </w:r>
      <w:r>
        <w:t xml:space="preserve">ia: Aspectos tributarios: </w:t>
      </w:r>
      <w:r w:rsidRPr="00A23DCC">
        <w:rPr>
          <w:i/>
        </w:rPr>
        <w:t>a) Liquidación de la sociedad de gananciales. b) Separación de bienes</w:t>
      </w:r>
      <w:r w:rsidRPr="00D316A5">
        <w:t xml:space="preserve">. 3. </w:t>
      </w:r>
      <w:r>
        <w:t>T</w:t>
      </w:r>
      <w:r w:rsidRPr="00D316A5">
        <w:t>ributación de los bienes adjudicados tras la disolución de la sociedad conyugal. 4. Estudio del caso: modificación de las medidas de divorcio debido al aumento de la capacidad de pago derivado de la percepción de una herencia por parte del Ex cónyuge: A. Cuestiones fiscales. —III. REFLEXIONES CONCLUSIVAS</w:t>
      </w:r>
      <w:proofErr w:type="gramStart"/>
      <w:r w:rsidRPr="00D316A5">
        <w:t>.—</w:t>
      </w:r>
      <w:proofErr w:type="gramEnd"/>
      <w:r w:rsidRPr="00D316A5">
        <w:t>IV. ÍNDICE DE SENTENCIAS CITADAS. —V. CITAS BIBLIOGRÁFICAS Y BIBLIOGRAFÍA CONSULTADA.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D1"/>
    <w:rsid w:val="003D00D1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D1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D1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2015-09-16T12:15:00Z</dcterms:created>
  <dcterms:modified xsi:type="dcterms:W3CDTF">2015-09-16T12:15:00Z</dcterms:modified>
</cp:coreProperties>
</file>