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150139" w:rsidP="00150139">
      <w:pPr>
        <w:jc w:val="both"/>
      </w:pPr>
      <w:r w:rsidRPr="00A530AF">
        <w:t>SUMARIO: I. NOCIONES PREVIAS: LA VIVIENDA PROTEGIDA Y EL RÉGIMEN DE CESIÓN</w:t>
      </w:r>
      <w:proofErr w:type="gramStart"/>
      <w:r w:rsidRPr="00A530AF">
        <w:t>.—</w:t>
      </w:r>
      <w:proofErr w:type="gramEnd"/>
      <w:r w:rsidRPr="00A530AF">
        <w:t xml:space="preserve">II. FUNDAMENTOS LEGALES DE LA ENAJENACIÓN DE PROMOCIONES DE VIVIENDAS, CON PROTECCIÓN PÚBLICA Y SIN ELLA, EN ARRENDAMIENTO DE MADRID CAPITAL: </w:t>
      </w:r>
      <w:r w:rsidRPr="00A530AF">
        <w:rPr>
          <w:smallCaps/>
        </w:rPr>
        <w:t>1. Referencia a la vivienda</w:t>
      </w:r>
      <w:r>
        <w:rPr>
          <w:smallCaps/>
        </w:rPr>
        <w:t xml:space="preserve"> pro</w:t>
      </w:r>
      <w:r w:rsidRPr="00A530AF">
        <w:rPr>
          <w:smallCaps/>
        </w:rPr>
        <w:t>tegida</w:t>
      </w:r>
      <w:r>
        <w:rPr>
          <w:smallCaps/>
        </w:rPr>
        <w:t>.</w:t>
      </w:r>
      <w:r w:rsidRPr="00A530AF">
        <w:rPr>
          <w:smallCaps/>
        </w:rPr>
        <w:t xml:space="preserve"> 2. Mención a la sociedad mercantil local</w:t>
      </w:r>
      <w:r>
        <w:rPr>
          <w:smallCaps/>
        </w:rPr>
        <w:t>.</w:t>
      </w:r>
      <w:r w:rsidRPr="00A530AF">
        <w:rPr>
          <w:smallCaps/>
        </w:rPr>
        <w:t xml:space="preserve"> 3. Enajenación de promociones y cesió</w:t>
      </w:r>
      <w:bookmarkStart w:id="0" w:name="_GoBack"/>
      <w:bookmarkEnd w:id="0"/>
      <w:r w:rsidRPr="00A530AF">
        <w:rPr>
          <w:smallCaps/>
        </w:rPr>
        <w:t>n de contratos</w:t>
      </w:r>
      <w:r>
        <w:rPr>
          <w:smallCaps/>
        </w:rPr>
        <w:t>.</w:t>
      </w:r>
      <w:r w:rsidRPr="00A530AF">
        <w:rPr>
          <w:smallCaps/>
        </w:rPr>
        <w:t xml:space="preserve"> 4. Derecho de adquisición preferente: tanteo y retracto</w:t>
      </w:r>
      <w:r>
        <w:rPr>
          <w:smallCaps/>
        </w:rPr>
        <w:t>.</w:t>
      </w:r>
      <w:r w:rsidRPr="00A530AF">
        <w:rPr>
          <w:smallCaps/>
        </w:rPr>
        <w:t xml:space="preserve"> 5. D</w:t>
      </w:r>
      <w:r>
        <w:rPr>
          <w:smallCaps/>
        </w:rPr>
        <w:t>e</w:t>
      </w:r>
      <w:r w:rsidRPr="00A530AF">
        <w:rPr>
          <w:smallCaps/>
        </w:rPr>
        <w:t xml:space="preserve"> la concreta sociedad</w:t>
      </w:r>
      <w:r>
        <w:rPr>
          <w:smallCaps/>
        </w:rPr>
        <w:t xml:space="preserve"> municipal e</w:t>
      </w:r>
      <w:r w:rsidRPr="00A530AF">
        <w:rPr>
          <w:smallCaps/>
        </w:rPr>
        <w:t>najenante de las promociones</w:t>
      </w:r>
      <w:proofErr w:type="gramStart"/>
      <w:r w:rsidRPr="00A530AF">
        <w:rPr>
          <w:smallCaps/>
        </w:rPr>
        <w:t>.—</w:t>
      </w:r>
      <w:proofErr w:type="gramEnd"/>
      <w:r w:rsidRPr="00A530AF">
        <w:t xml:space="preserve">III. SUPUESTOS DE INAPLICACIÓN DEL DECRETO DE LA </w:t>
      </w:r>
      <w:proofErr w:type="spellStart"/>
      <w:r w:rsidRPr="00A530AF">
        <w:t>CAM</w:t>
      </w:r>
      <w:proofErr w:type="spellEnd"/>
      <w:r w:rsidRPr="00A530AF">
        <w:t xml:space="preserve"> 100/1986, DE 22 DE OCTUBRE: 1</w:t>
      </w:r>
      <w:r w:rsidRPr="00087325">
        <w:rPr>
          <w:smallCaps/>
        </w:rPr>
        <w:t>. De la calificación de vivienda protegida</w:t>
      </w:r>
      <w:r>
        <w:rPr>
          <w:smallCaps/>
        </w:rPr>
        <w:t>.</w:t>
      </w:r>
      <w:r w:rsidRPr="00087325">
        <w:rPr>
          <w:smallCaps/>
        </w:rPr>
        <w:t xml:space="preserve"> 2. El supuesto de la «descalificación»</w:t>
      </w:r>
      <w:proofErr w:type="gramStart"/>
      <w:r w:rsidRPr="00087325">
        <w:rPr>
          <w:smallCaps/>
        </w:rPr>
        <w:t>.—</w:t>
      </w:r>
      <w:proofErr w:type="gramEnd"/>
      <w:r w:rsidRPr="00A530AF">
        <w:t xml:space="preserve">IV. ANÁLISIS DE CIERTAS ESTIPULACIONES CONTRACTUALES: </w:t>
      </w:r>
      <w:r w:rsidRPr="00087325">
        <w:rPr>
          <w:smallCaps/>
        </w:rPr>
        <w:t>1. La temporalidad de los contratos arrendaticios. 2. Antinomia jurídica y/o conflicto de leyes. 3. Aplicación de la Ley 29/1994, de 24 de noviembre, de arrendamientos urbanos</w:t>
      </w:r>
      <w:r>
        <w:rPr>
          <w:smallCaps/>
        </w:rPr>
        <w:t>.</w:t>
      </w:r>
      <w:r w:rsidRPr="00087325">
        <w:rPr>
          <w:smallCaps/>
        </w:rPr>
        <w:t xml:space="preserve"> 4. Tácita reconducción</w:t>
      </w:r>
      <w:proofErr w:type="gramStart"/>
      <w:r w:rsidRPr="00A530AF">
        <w:t>.—</w:t>
      </w:r>
      <w:proofErr w:type="gramEnd"/>
      <w:r w:rsidRPr="00A530AF">
        <w:t>V. REFLEXIONES CONCLUSIVAS.—VI. BIBLIOGRAFÍA Y DOCUMENTACIÓN</w:t>
      </w:r>
      <w:proofErr w:type="gramStart"/>
      <w:r w:rsidRPr="00A530AF">
        <w:t>.—</w:t>
      </w:r>
      <w:proofErr w:type="gramEnd"/>
      <w:r w:rsidRPr="00A530AF">
        <w:t>VII. ÍNDICE DE SENTENCIAS CITADAS.</w:t>
      </w:r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39"/>
    <w:rsid w:val="00150139"/>
    <w:rsid w:val="004C08CB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46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46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2015-09-16T12:01:00Z</dcterms:created>
  <dcterms:modified xsi:type="dcterms:W3CDTF">2015-09-16T12:01:00Z</dcterms:modified>
</cp:coreProperties>
</file>