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950F53" w:rsidP="00950F53">
      <w:pPr>
        <w:jc w:val="both"/>
      </w:pPr>
      <w:r w:rsidRPr="00107CD0">
        <w:rPr>
          <w:iCs/>
          <w:color w:val="000000"/>
          <w:szCs w:val="24"/>
        </w:rPr>
        <w:t>SUMARIO:</w:t>
      </w:r>
      <w:r>
        <w:rPr>
          <w:iCs/>
          <w:color w:val="000000"/>
          <w:szCs w:val="24"/>
        </w:rPr>
        <w:t xml:space="preserve"> </w:t>
      </w:r>
      <w:r w:rsidRPr="00107CD0">
        <w:rPr>
          <w:color w:val="000000"/>
          <w:szCs w:val="24"/>
        </w:rPr>
        <w:t>INTRODUCCIÓN</w:t>
      </w:r>
      <w:proofErr w:type="gramStart"/>
      <w:r w:rsidRPr="00107CD0">
        <w:rPr>
          <w:color w:val="000000"/>
          <w:szCs w:val="24"/>
        </w:rPr>
        <w:t>.—</w:t>
      </w:r>
      <w:proofErr w:type="gramEnd"/>
      <w:r w:rsidRPr="00107CD0">
        <w:rPr>
          <w:color w:val="000000"/>
          <w:szCs w:val="24"/>
        </w:rPr>
        <w:t xml:space="preserve">I. PUNTO DE PARTIDA y NOCIONES BÁSICAS: I.1. Punto de partida. I.2. Conceptos básicos: I.2.1. </w:t>
      </w:r>
      <w:r w:rsidRPr="00107CD0">
        <w:rPr>
          <w:i/>
          <w:iCs/>
          <w:color w:val="000000"/>
          <w:szCs w:val="24"/>
        </w:rPr>
        <w:t xml:space="preserve">Derecho inmobiliario y Registro de la Propiedad. </w:t>
      </w:r>
      <w:r w:rsidRPr="00107CD0">
        <w:rPr>
          <w:color w:val="000000"/>
          <w:szCs w:val="24"/>
        </w:rPr>
        <w:t xml:space="preserve">I.2.2. </w:t>
      </w:r>
      <w:r w:rsidRPr="00107CD0">
        <w:rPr>
          <w:i/>
          <w:iCs/>
          <w:color w:val="000000"/>
          <w:szCs w:val="24"/>
        </w:rPr>
        <w:t xml:space="preserve">Catastro. </w:t>
      </w:r>
      <w:r w:rsidRPr="00107CD0">
        <w:rPr>
          <w:color w:val="000000"/>
          <w:szCs w:val="24"/>
        </w:rPr>
        <w:t xml:space="preserve">I.2.3. </w:t>
      </w:r>
      <w:r w:rsidRPr="00107CD0">
        <w:rPr>
          <w:i/>
          <w:iCs/>
          <w:color w:val="000000"/>
          <w:szCs w:val="24"/>
        </w:rPr>
        <w:t xml:space="preserve">Relaciones entre ambas instituciones. </w:t>
      </w:r>
      <w:r w:rsidRPr="00107CD0">
        <w:rPr>
          <w:color w:val="000000"/>
          <w:szCs w:val="24"/>
        </w:rPr>
        <w:t xml:space="preserve">I.3. Breve idea de la Base Gráfica Registral: I.3.1. </w:t>
      </w:r>
      <w:r w:rsidRPr="00107CD0">
        <w:rPr>
          <w:i/>
          <w:iCs/>
          <w:color w:val="000000"/>
          <w:szCs w:val="24"/>
        </w:rPr>
        <w:t xml:space="preserve">Concepto de la Base gráfica registral. </w:t>
      </w:r>
      <w:r w:rsidRPr="00107CD0">
        <w:rPr>
          <w:color w:val="000000"/>
          <w:szCs w:val="24"/>
        </w:rPr>
        <w:t xml:space="preserve">I.3.2. </w:t>
      </w:r>
      <w:r w:rsidRPr="00107CD0">
        <w:rPr>
          <w:i/>
          <w:iCs/>
          <w:color w:val="000000"/>
          <w:szCs w:val="24"/>
        </w:rPr>
        <w:t xml:space="preserve">Fundamento de la Base Gráfica Registral: </w:t>
      </w:r>
      <w:r w:rsidRPr="00107CD0">
        <w:rPr>
          <w:color w:val="000000"/>
          <w:szCs w:val="24"/>
        </w:rPr>
        <w:t xml:space="preserve">I.3.2.1. Fundamento legal. I.3.2.2. Fundamento jurisprudencial y doctrinal. I.3.2.3. Fundamento objetivo. I.3.3. </w:t>
      </w:r>
      <w:r w:rsidRPr="00107CD0">
        <w:rPr>
          <w:i/>
          <w:iCs/>
          <w:color w:val="000000"/>
          <w:szCs w:val="24"/>
        </w:rPr>
        <w:t>Naturaleza jurídica de la Base Gráfica Registral</w:t>
      </w:r>
      <w:r w:rsidRPr="00107CD0">
        <w:rPr>
          <w:color w:val="000000"/>
          <w:szCs w:val="24"/>
        </w:rPr>
        <w:t xml:space="preserve">—II. DEBILIDADES DE LA METODOLOGÍA REGISTRAL TRADICIONAL EN LA DESCRIPCIÓN INMOBILIARIA. LA PRETENDIDA COORDINACIÓN DEL REGISTRO DE LA PROPIEDAD CON EL CATASTRO INMOBILIARIO: II .1. Planteamiento de la problemática. II .2. Evolución normativa. II .3. Estado de la cuestión tras las reformas introducidas y el nuevo proyecto de ley: II.3.1. </w:t>
      </w:r>
      <w:r w:rsidRPr="00107CD0">
        <w:rPr>
          <w:i/>
          <w:iCs/>
          <w:color w:val="000000"/>
          <w:szCs w:val="24"/>
        </w:rPr>
        <w:t xml:space="preserve">Las novedades legislativas. </w:t>
      </w:r>
      <w:r w:rsidRPr="00107CD0">
        <w:rPr>
          <w:color w:val="000000"/>
          <w:szCs w:val="24"/>
        </w:rPr>
        <w:t xml:space="preserve">II.3.2. </w:t>
      </w:r>
      <w:r w:rsidRPr="00107CD0">
        <w:rPr>
          <w:i/>
          <w:iCs/>
          <w:color w:val="000000"/>
          <w:szCs w:val="24"/>
        </w:rPr>
        <w:t>Los aspectos técnicos</w:t>
      </w:r>
      <w:proofErr w:type="gramStart"/>
      <w:r w:rsidRPr="00107CD0">
        <w:rPr>
          <w:i/>
          <w:iCs/>
          <w:color w:val="000000"/>
          <w:szCs w:val="24"/>
        </w:rPr>
        <w:t>.—</w:t>
      </w:r>
      <w:proofErr w:type="gramEnd"/>
      <w:r w:rsidRPr="00107CD0">
        <w:rPr>
          <w:color w:val="000000"/>
          <w:szCs w:val="24"/>
        </w:rPr>
        <w:t xml:space="preserve">III. EL SISTEMA DE BASES GRÁFICAS REGISTRALES COMO UN NUEVO ENFOQUE METODOLÓGICO REGISTRAL: III .1. Incidencia de la Base Gráfica Registral en los fines del Registro de la Propiedad. III .2. Ventajas jurídicas de la identificación por medio de la Base Gráfica Registral: III.2.1. </w:t>
      </w:r>
      <w:r w:rsidRPr="00107CD0">
        <w:rPr>
          <w:i/>
          <w:iCs/>
          <w:color w:val="000000"/>
          <w:szCs w:val="24"/>
        </w:rPr>
        <w:t xml:space="preserve">La información asociada, el Registro de la Propiedad y la Directiva Inspire: </w:t>
      </w:r>
      <w:r w:rsidRPr="00107CD0">
        <w:rPr>
          <w:color w:val="000000"/>
          <w:szCs w:val="24"/>
        </w:rPr>
        <w:t xml:space="preserve">III.2.1.1. Concepto de la información asociada. III.2.1.2. Encaje de la Directiva Inspire 2007/2/CE. III.2.2. </w:t>
      </w:r>
      <w:r w:rsidRPr="00107CD0">
        <w:rPr>
          <w:i/>
          <w:iCs/>
          <w:color w:val="000000"/>
          <w:szCs w:val="24"/>
        </w:rPr>
        <w:t>Operaciones jurídicas que facilita en la coordinación con Catastro</w:t>
      </w:r>
      <w:proofErr w:type="gramStart"/>
      <w:r w:rsidRPr="00107CD0">
        <w:rPr>
          <w:i/>
          <w:iCs/>
          <w:color w:val="000000"/>
          <w:szCs w:val="24"/>
        </w:rPr>
        <w:t>.</w:t>
      </w:r>
      <w:r w:rsidRPr="00107CD0">
        <w:rPr>
          <w:color w:val="000000"/>
          <w:szCs w:val="24"/>
        </w:rPr>
        <w:t>—</w:t>
      </w:r>
      <w:proofErr w:type="gramEnd"/>
      <w:r w:rsidRPr="00107CD0">
        <w:rPr>
          <w:color w:val="000000"/>
          <w:szCs w:val="24"/>
        </w:rPr>
        <w:t>IV. CONCLUSIONES</w:t>
      </w:r>
      <w:proofErr w:type="gramStart"/>
      <w:r w:rsidRPr="00107CD0">
        <w:rPr>
          <w:color w:val="000000"/>
          <w:szCs w:val="24"/>
        </w:rPr>
        <w:t>.—</w:t>
      </w:r>
      <w:proofErr w:type="gramEnd"/>
      <w:r w:rsidRPr="00107CD0">
        <w:rPr>
          <w:color w:val="000000"/>
          <w:szCs w:val="24"/>
        </w:rPr>
        <w:t xml:space="preserve">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53"/>
    <w:rsid w:val="004C08CB"/>
    <w:rsid w:val="00950F53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2015-02-16T10:51:00Z</dcterms:created>
  <dcterms:modified xsi:type="dcterms:W3CDTF">2015-02-16T10:52:00Z</dcterms:modified>
</cp:coreProperties>
</file>