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04A81">
      <w:r w:rsidRPr="00004A81">
        <w:t>SUMARIO: DECLARACIÓN DE PRINCIPIOS</w:t>
      </w:r>
      <w:proofErr w:type="gramStart"/>
      <w:r w:rsidRPr="00004A81">
        <w:t>.—</w:t>
      </w:r>
      <w:proofErr w:type="gramEnd"/>
      <w:r w:rsidRPr="00004A81">
        <w:t>I. LA ESTRUCTURA DE LA RELACIÓN JURÍDICA NACIDA DE LA PROPIEDAD HORIZONTAL. SUJETOS. CAUSA. FORMA. OBJETO: 1. ESPECIAL REFERENCIA A LOS GARAJES Y AZOTEAS</w:t>
      </w:r>
      <w:proofErr w:type="gramStart"/>
      <w:r w:rsidRPr="00004A81">
        <w:t>.—</w:t>
      </w:r>
      <w:proofErr w:type="gramEnd"/>
      <w:r w:rsidRPr="00004A81">
        <w:t>II. EL REGISTRO DE LA PROPIEDAD INMOBILIARIA Y LA INSCRIPCIÓN DE LA PROPIEDAD HORIZONTAL EN CUBA: 1. EL REGISTRO INMOBILIARIO Y LA PROPIEDAD HORIZONTAL. GENERALIDADES: A. Sistema más común de inscripción de la Propiedad Horizontal: a) La finca matriz. b) Las fincas filiales. Importancia de la Propiedad Horizontal</w:t>
      </w:r>
      <w:proofErr w:type="gramStart"/>
      <w:r w:rsidRPr="00004A81">
        <w:t>.—</w:t>
      </w:r>
      <w:proofErr w:type="gramEnd"/>
      <w:r w:rsidRPr="00004A81">
        <w:t>BIBLIOGRAFÍA.—LEGISLACIONES.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B"/>
    <w:rsid w:val="00004A81"/>
    <w:rsid w:val="00414E9B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2015-04-21T11:11:00Z</dcterms:created>
  <dcterms:modified xsi:type="dcterms:W3CDTF">2015-04-21T11:11:00Z</dcterms:modified>
</cp:coreProperties>
</file>