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D33A3" w:rsidP="009D33A3">
      <w:pPr>
        <w:jc w:val="both"/>
      </w:pPr>
      <w:r w:rsidRPr="00004F05">
        <w:t>SUMARIO: I. MONISMO INVERSO</w:t>
      </w:r>
      <w:proofErr w:type="gramStart"/>
      <w:r w:rsidRPr="00004F05">
        <w:t>.—</w:t>
      </w:r>
      <w:proofErr w:type="gramEnd"/>
      <w:r w:rsidRPr="00004F05">
        <w:t>II. DUALISMO EN LA LEY DE 1861</w:t>
      </w:r>
      <w:proofErr w:type="gramStart"/>
      <w:r w:rsidRPr="00004F05">
        <w:t>.—</w:t>
      </w:r>
      <w:proofErr w:type="gramEnd"/>
      <w:r w:rsidRPr="00004F05">
        <w:t>III. LAS PRIMERAS INSCRIPCIONES EN LA LEY DE 1861. —IV. UNA LEY «DISTINTA E INDEPENDIENTE»</w:t>
      </w:r>
      <w:proofErr w:type="gramStart"/>
      <w:r w:rsidRPr="00004F05">
        <w:t>.—</w:t>
      </w:r>
      <w:proofErr w:type="gramEnd"/>
      <w:r w:rsidRPr="00004F05">
        <w:t>V. DERECHO TRANSITORIO.—VI. LUCHA ENTRE CONTRADICTORIOS VÁLIDOS</w:t>
      </w:r>
      <w:proofErr w:type="gramStart"/>
      <w:r w:rsidRPr="00004F05">
        <w:t>.—</w:t>
      </w:r>
      <w:proofErr w:type="gramEnd"/>
      <w:r w:rsidRPr="00004F05">
        <w:t>VII. ENTRADA EN VIGOR DE LA LEY</w:t>
      </w:r>
      <w:proofErr w:type="gramStart"/>
      <w:r w:rsidRPr="00004F05">
        <w:t>.—</w:t>
      </w:r>
      <w:proofErr w:type="gramEnd"/>
      <w:r w:rsidRPr="00004F05">
        <w:t>VIII. LA FRONTERA ENTRE EL 23 Y EL 34</w:t>
      </w:r>
      <w:proofErr w:type="gramStart"/>
      <w:r w:rsidRPr="00004F05">
        <w:t>.—</w:t>
      </w:r>
      <w:proofErr w:type="gramEnd"/>
      <w:r w:rsidRPr="00004F05">
        <w:t>IX. LA FUERZA DE LA PRIMERA INSCRIPCIÓN</w:t>
      </w:r>
      <w:proofErr w:type="gramStart"/>
      <w:r w:rsidRPr="00004F05">
        <w:t>.—</w:t>
      </w:r>
      <w:proofErr w:type="gramEnd"/>
      <w:r w:rsidRPr="00004F05">
        <w:t>X. ACCIONES RESOLUTORIAS Y RESCISORIAS.—XI. EL CASO DE LA DOBLE VENTA</w:t>
      </w:r>
      <w:proofErr w:type="gramStart"/>
      <w:r w:rsidRPr="00004F05">
        <w:t>.—</w:t>
      </w:r>
      <w:proofErr w:type="gramEnd"/>
      <w:r w:rsidRPr="00004F05">
        <w:t>XII. EL REQUISITO DE LA BUENA</w:t>
      </w:r>
      <w:r>
        <w:t xml:space="preserve"> FE Y GREGORIO LÓPEZ</w:t>
      </w:r>
      <w:proofErr w:type="gramStart"/>
      <w:r>
        <w:t>.</w:t>
      </w:r>
      <w:r w:rsidRPr="00004F05">
        <w:t>—</w:t>
      </w:r>
      <w:proofErr w:type="gramEnd"/>
      <w:r w:rsidRPr="00004F05">
        <w:t>XIII. FERNÁNDEZ NEGRETE, MINISTRO DE JUSTICIA</w:t>
      </w:r>
      <w:proofErr w:type="gramStart"/>
      <w:r w:rsidRPr="00004F05">
        <w:t>.—</w:t>
      </w:r>
      <w:proofErr w:type="gramEnd"/>
      <w:r w:rsidRPr="00004F05">
        <w:t>XIV. EL GALIMATÍAS DEL ARTÍCULO 35: LA PRESCRIPCIÓN</w:t>
      </w:r>
      <w:proofErr w:type="gramStart"/>
      <w:r w:rsidRPr="00004F05">
        <w:t>.—</w:t>
      </w:r>
      <w:proofErr w:type="gramEnd"/>
      <w:r w:rsidRPr="00004F05">
        <w:t>XV. CONCEPTO DE TERCERO</w:t>
      </w:r>
      <w:proofErr w:type="gramStart"/>
      <w:r w:rsidRPr="00004F05">
        <w:t>.—</w:t>
      </w:r>
      <w:proofErr w:type="gramEnd"/>
      <w:r w:rsidRPr="00004F05">
        <w:t>XVI. FUERZA REAL DEL ASIENTO</w:t>
      </w:r>
      <w:proofErr w:type="gramStart"/>
      <w:r w:rsidRPr="00004F05">
        <w:t>.—</w:t>
      </w:r>
      <w:proofErr w:type="gramEnd"/>
      <w:r w:rsidRPr="00004F05">
        <w:t>XVII. ¿GERMANISMO?—XVIII. NUEVO INTENTO</w:t>
      </w:r>
      <w:proofErr w:type="gramStart"/>
      <w:r w:rsidRPr="00004F05">
        <w:t>.—</w:t>
      </w:r>
      <w:proofErr w:type="gramEnd"/>
      <w:r w:rsidRPr="00004F05">
        <w:t>XIX. PROPIEDAD RELATIVA.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3"/>
    <w:rsid w:val="004C08CB"/>
    <w:rsid w:val="009D33A3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2015-09-16T08:06:00Z</dcterms:created>
  <dcterms:modified xsi:type="dcterms:W3CDTF">2015-09-16T08:06:00Z</dcterms:modified>
</cp:coreProperties>
</file>