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Pr="00D10CAF" w:rsidRDefault="00D10CAF" w:rsidP="00D10CA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649AC">
        <w:rPr>
          <w:rFonts w:cs="Times New Roman"/>
          <w:iCs/>
          <w:szCs w:val="24"/>
        </w:rPr>
        <w:t xml:space="preserve">SUMARIO: </w:t>
      </w:r>
      <w:r>
        <w:rPr>
          <w:rFonts w:cs="Times New Roman"/>
          <w:szCs w:val="24"/>
        </w:rPr>
        <w:t>I. VALORACI</w:t>
      </w:r>
      <w:r w:rsidRPr="009649AC">
        <w:rPr>
          <w:rFonts w:cs="Times New Roman"/>
          <w:szCs w:val="24"/>
        </w:rPr>
        <w:t xml:space="preserve">ÓN GENERAL Y REFERENCIA A LAS CLÁUSULAS </w:t>
      </w:r>
      <w:r w:rsidRPr="009649AC">
        <w:rPr>
          <w:rFonts w:cs="Times New Roman"/>
          <w:iCs/>
          <w:szCs w:val="24"/>
        </w:rPr>
        <w:t>REBUS SIC STANTIBUS</w:t>
      </w:r>
      <w:proofErr w:type="gramStart"/>
      <w:r w:rsidRPr="009649AC">
        <w:rPr>
          <w:rFonts w:cs="Times New Roman"/>
          <w:szCs w:val="24"/>
        </w:rPr>
        <w:t>.—</w:t>
      </w:r>
      <w:proofErr w:type="gramEnd"/>
      <w:r w:rsidRPr="009649AC">
        <w:rPr>
          <w:rFonts w:cs="Times New Roman"/>
          <w:szCs w:val="24"/>
        </w:rPr>
        <w:t>II. LAS RECIENTES REFORMAS HIPOTECARIAS: 1. Ley 41/2007, de 7 de diciembre. 2. Real Decreto-ley 6/2012,</w:t>
      </w:r>
      <w:r>
        <w:rPr>
          <w:rFonts w:cs="Times New Roman"/>
          <w:szCs w:val="24"/>
        </w:rPr>
        <w:t xml:space="preserve"> </w:t>
      </w:r>
      <w:r w:rsidRPr="009649AC">
        <w:rPr>
          <w:rFonts w:cs="Times New Roman"/>
          <w:szCs w:val="24"/>
        </w:rPr>
        <w:t>de 9 de marzo, de medidas urgentes de protección de deudores hipotecarios</w:t>
      </w:r>
      <w:r>
        <w:rPr>
          <w:rFonts w:cs="Times New Roman"/>
          <w:szCs w:val="24"/>
        </w:rPr>
        <w:t xml:space="preserve"> </w:t>
      </w:r>
      <w:r w:rsidRPr="009649AC">
        <w:rPr>
          <w:rFonts w:cs="Times New Roman"/>
          <w:szCs w:val="24"/>
        </w:rPr>
        <w:t>sin recursos. 3. Real Decreto-ley 27/2012, de 15 de noviembre, de medidas</w:t>
      </w:r>
      <w:r>
        <w:rPr>
          <w:rFonts w:cs="Times New Roman"/>
          <w:szCs w:val="24"/>
        </w:rPr>
        <w:t xml:space="preserve"> </w:t>
      </w:r>
      <w:r w:rsidRPr="009649AC">
        <w:rPr>
          <w:rFonts w:cs="Times New Roman"/>
          <w:szCs w:val="24"/>
        </w:rPr>
        <w:t>urgentes para reforzar la protección de los deudores hipotecarios. 4. Ley</w:t>
      </w:r>
      <w:r>
        <w:rPr>
          <w:rFonts w:cs="Times New Roman"/>
          <w:szCs w:val="24"/>
        </w:rPr>
        <w:t xml:space="preserve"> </w:t>
      </w:r>
      <w:r w:rsidRPr="009649AC">
        <w:rPr>
          <w:rFonts w:cs="Times New Roman"/>
          <w:szCs w:val="24"/>
        </w:rPr>
        <w:t>1/2013, de 14 de mayo, de medidas para reforzar la protección de los deudores</w:t>
      </w:r>
      <w:r>
        <w:rPr>
          <w:rFonts w:cs="Times New Roman"/>
          <w:szCs w:val="24"/>
        </w:rPr>
        <w:t xml:space="preserve"> </w:t>
      </w:r>
      <w:r w:rsidRPr="009649AC">
        <w:rPr>
          <w:rFonts w:cs="Times New Roman"/>
          <w:szCs w:val="24"/>
        </w:rPr>
        <w:t xml:space="preserve">hipotecarios, reestructuración de deuda y alquiler social: </w:t>
      </w:r>
      <w:r w:rsidRPr="006B5CEF">
        <w:rPr>
          <w:rFonts w:cs="Times New Roman"/>
          <w:i/>
          <w:szCs w:val="24"/>
        </w:rPr>
        <w:t xml:space="preserve">A) </w:t>
      </w:r>
      <w:r w:rsidRPr="006B5CEF">
        <w:rPr>
          <w:rFonts w:cs="Times New Roman"/>
          <w:i/>
          <w:iCs/>
          <w:szCs w:val="24"/>
        </w:rPr>
        <w:t xml:space="preserve">Introducción. </w:t>
      </w:r>
      <w:r w:rsidRPr="006B5CEF">
        <w:rPr>
          <w:rFonts w:cs="Times New Roman"/>
          <w:i/>
          <w:szCs w:val="24"/>
        </w:rPr>
        <w:t xml:space="preserve">B) </w:t>
      </w:r>
      <w:r w:rsidRPr="006B5CEF">
        <w:rPr>
          <w:rFonts w:cs="Times New Roman"/>
          <w:i/>
          <w:iCs/>
          <w:szCs w:val="24"/>
        </w:rPr>
        <w:t xml:space="preserve">Medidas sobre el procedimiento de ejecución hipotecaria adoptadas por el legislador. </w:t>
      </w:r>
      <w:r w:rsidRPr="006B5CEF">
        <w:rPr>
          <w:rFonts w:cs="Times New Roman"/>
          <w:i/>
          <w:szCs w:val="24"/>
        </w:rPr>
        <w:t xml:space="preserve">C) </w:t>
      </w:r>
      <w:r w:rsidRPr="006B5CEF">
        <w:rPr>
          <w:rFonts w:cs="Times New Roman"/>
          <w:i/>
          <w:iCs/>
          <w:szCs w:val="24"/>
        </w:rPr>
        <w:t>Otras medidas de protección del deudor hipotecario adoptadas por el legislador</w:t>
      </w:r>
      <w:proofErr w:type="gramStart"/>
      <w:r w:rsidRPr="009649AC">
        <w:rPr>
          <w:rFonts w:cs="Times New Roman"/>
          <w:iCs/>
          <w:szCs w:val="24"/>
        </w:rPr>
        <w:t>.</w:t>
      </w:r>
      <w:r w:rsidRPr="009649AC">
        <w:rPr>
          <w:rFonts w:cs="Times New Roman"/>
          <w:szCs w:val="24"/>
        </w:rPr>
        <w:t>—</w:t>
      </w:r>
      <w:proofErr w:type="gramEnd"/>
      <w:r w:rsidRPr="009649AC">
        <w:rPr>
          <w:rFonts w:cs="Times New Roman"/>
          <w:szCs w:val="24"/>
        </w:rPr>
        <w:t>III. ALTERNATIVAS O MEDIDAS COMPLEMENTARIAS A TENER EN CUENTA: 1. Intervención de notarios y registradores.</w:t>
      </w:r>
      <w:r>
        <w:rPr>
          <w:rFonts w:cs="Times New Roman"/>
          <w:szCs w:val="24"/>
        </w:rPr>
        <w:t xml:space="preserve"> </w:t>
      </w:r>
      <w:r w:rsidRPr="009649AC">
        <w:rPr>
          <w:rFonts w:cs="Times New Roman"/>
          <w:szCs w:val="24"/>
        </w:rPr>
        <w:t>2. Intermediación hipotecaria. 3. Dación en pago. 4. Alquiler de viviendas.</w:t>
      </w:r>
      <w:r>
        <w:rPr>
          <w:rFonts w:cs="Times New Roman"/>
          <w:szCs w:val="24"/>
        </w:rPr>
        <w:t xml:space="preserve"> </w:t>
      </w:r>
      <w:r w:rsidRPr="009649AC">
        <w:rPr>
          <w:rFonts w:cs="Times New Roman"/>
          <w:szCs w:val="24"/>
        </w:rPr>
        <w:t>5. Limitación de la responsabilidad hipotecaria. 6. Sistema de control sobre el</w:t>
      </w:r>
      <w:r>
        <w:rPr>
          <w:rFonts w:cs="Times New Roman"/>
          <w:szCs w:val="24"/>
        </w:rPr>
        <w:t xml:space="preserve"> </w:t>
      </w:r>
      <w:r w:rsidRPr="009649AC">
        <w:rPr>
          <w:rFonts w:cs="Times New Roman"/>
          <w:szCs w:val="24"/>
        </w:rPr>
        <w:t>procedimiento de tasación de inmuebles</w:t>
      </w:r>
      <w:proofErr w:type="gramStart"/>
      <w:r w:rsidRPr="009649AC">
        <w:rPr>
          <w:rFonts w:cs="Times New Roman"/>
          <w:szCs w:val="24"/>
        </w:rPr>
        <w:t>.—</w:t>
      </w:r>
      <w:proofErr w:type="gramEnd"/>
      <w:r w:rsidRPr="009649AC">
        <w:rPr>
          <w:rFonts w:cs="Times New Roman"/>
          <w:szCs w:val="24"/>
        </w:rPr>
        <w:t>IV. CONCLUSIONES</w:t>
      </w:r>
      <w:proofErr w:type="gramStart"/>
      <w:r w:rsidRPr="009649AC">
        <w:rPr>
          <w:rFonts w:cs="Times New Roman"/>
          <w:szCs w:val="24"/>
        </w:rPr>
        <w:t>.—</w:t>
      </w:r>
      <w:proofErr w:type="gramEnd"/>
      <w:r w:rsidRPr="009649AC">
        <w:rPr>
          <w:rFonts w:cs="Times New Roman"/>
          <w:szCs w:val="24"/>
        </w:rPr>
        <w:t>V. ÍNDICE</w:t>
      </w:r>
      <w:r>
        <w:rPr>
          <w:rFonts w:cs="Times New Roman"/>
          <w:szCs w:val="24"/>
        </w:rPr>
        <w:t xml:space="preserve"> </w:t>
      </w:r>
      <w:r w:rsidRPr="009649AC">
        <w:rPr>
          <w:rFonts w:cs="Times New Roman"/>
          <w:szCs w:val="24"/>
        </w:rPr>
        <w:t>DE RESOLUCIONES CITADAS</w:t>
      </w:r>
      <w:r>
        <w:rPr>
          <w:rFonts w:cs="Times New Roman"/>
          <w:szCs w:val="24"/>
        </w:rPr>
        <w:t>.</w:t>
      </w:r>
      <w:bookmarkStart w:id="0" w:name="_GoBack"/>
      <w:bookmarkEnd w:id="0"/>
    </w:p>
    <w:sectPr w:rsidR="004C08CB" w:rsidRPr="00D10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AF"/>
    <w:rsid w:val="004C08CB"/>
    <w:rsid w:val="00AE6146"/>
    <w:rsid w:val="00D1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AF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AF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2014-11-17T13:08:00Z</dcterms:created>
  <dcterms:modified xsi:type="dcterms:W3CDTF">2014-11-17T13:09:00Z</dcterms:modified>
</cp:coreProperties>
</file>