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5805C3" w:rsidP="005805C3">
      <w:pPr>
        <w:jc w:val="both"/>
      </w:pPr>
      <w:r w:rsidRPr="00FB7EB9">
        <w:t>SUMARIO: I. INTRODUCCIÓN</w:t>
      </w:r>
      <w:proofErr w:type="gramStart"/>
      <w:r w:rsidRPr="00FB7EB9">
        <w:t>.—</w:t>
      </w:r>
      <w:proofErr w:type="gramEnd"/>
      <w:r w:rsidRPr="00FB7EB9">
        <w:t>II. JURISPRUDENCIA DEL TRIBUNAL SUPREMO SOBRE LAS CLÁUSULAS SUELO</w:t>
      </w:r>
      <w:r>
        <w:t>:</w:t>
      </w:r>
      <w:r w:rsidRPr="00FB7EB9">
        <w:t xml:space="preserve"> 1</w:t>
      </w:r>
      <w:r w:rsidRPr="00FB7EB9">
        <w:rPr>
          <w:smallCaps/>
        </w:rPr>
        <w:t>. La consideración de las cláusulas suelo como condiciones generales de la contratación a efectos del control de transparencia. 2. Estudio del doble control de transparencia. 3. El tipo de nulidad y la falta de retroactividad. 4. Ausencia de cosa juzgada respecto a las acciones individuales</w:t>
      </w:r>
      <w:proofErr w:type="gramStart"/>
      <w:r w:rsidRPr="00FB7EB9">
        <w:t>.—</w:t>
      </w:r>
      <w:proofErr w:type="gramEnd"/>
      <w:r w:rsidRPr="00FB7EB9">
        <w:t>III. CONCLUSIONES</w:t>
      </w:r>
      <w:proofErr w:type="gramStart"/>
      <w:r w:rsidRPr="00FB7EB9">
        <w:t>.—</w:t>
      </w:r>
      <w:proofErr w:type="gramEnd"/>
      <w:r w:rsidRPr="00FB7EB9">
        <w:t>IV. BIBLIOGRAFÍA</w:t>
      </w:r>
      <w:proofErr w:type="gramStart"/>
      <w:r w:rsidRPr="00FB7EB9">
        <w:t>.—</w:t>
      </w:r>
      <w:proofErr w:type="gramEnd"/>
      <w:r w:rsidRPr="00FB7EB9">
        <w:t>V. JURISPRUDENCIA CONSULTADA</w:t>
      </w:r>
      <w: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C3"/>
    <w:rsid w:val="004C08CB"/>
    <w:rsid w:val="005805C3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2016-03-31T12:04:00Z</dcterms:created>
  <dcterms:modified xsi:type="dcterms:W3CDTF">2016-03-31T12:04:00Z</dcterms:modified>
</cp:coreProperties>
</file>