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B67BAD" w:rsidP="00B67BAD">
      <w:pPr>
        <w:jc w:val="both"/>
      </w:pPr>
      <w:r w:rsidRPr="00410ADA">
        <w:t>SUMARIO: I. PLANTEAMIENTO: LA AUTOTUTELA EN LA LEY 41/2003, DE 18 DE NOVIEMBRE DE PROTECCIÓN PATRIMONIAL DE LAS PERSONAS CON DISCAPACIDAD</w:t>
      </w:r>
      <w:proofErr w:type="gramStart"/>
      <w:r w:rsidRPr="00410ADA">
        <w:t>.—</w:t>
      </w:r>
      <w:proofErr w:type="gramEnd"/>
      <w:r w:rsidRPr="00410ADA">
        <w:t>II. LAS NORMAS DEL CÓDIGO CIVIL: ARTÍCULOS 223 Y 234</w:t>
      </w:r>
      <w:proofErr w:type="gramStart"/>
      <w:r w:rsidRPr="00410ADA">
        <w:t>.—</w:t>
      </w:r>
      <w:proofErr w:type="gramEnd"/>
      <w:r w:rsidRPr="00410ADA">
        <w:t>III. ELEMENTOS SUBJETIVOS DE LA AUTOTUTELA</w:t>
      </w:r>
      <w:proofErr w:type="gramStart"/>
      <w:r w:rsidRPr="00410ADA">
        <w:t>.—</w:t>
      </w:r>
      <w:proofErr w:type="gramEnd"/>
      <w:r w:rsidRPr="00410ADA">
        <w:t>IV. ELEMENTOS FORMALES DE LA AUTOTUTELA</w:t>
      </w:r>
      <w:proofErr w:type="gramStart"/>
      <w:r w:rsidRPr="00410ADA">
        <w:t>.—</w:t>
      </w:r>
      <w:proofErr w:type="gramEnd"/>
      <w:r w:rsidRPr="00410ADA">
        <w:t>V. CONSIDERACIONES FINALES.—VI. RELACIÓN DE SENTENCIAS CITADAS</w:t>
      </w:r>
      <w:proofErr w:type="gramStart"/>
      <w:r w:rsidRPr="00410ADA">
        <w:t>.—</w:t>
      </w:r>
      <w:proofErr w:type="gramEnd"/>
      <w:r w:rsidRPr="00410ADA">
        <w:t>VII. BIBLIOGRAFÍA CONSULTADA.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AD"/>
    <w:rsid w:val="004C08CB"/>
    <w:rsid w:val="00AE6146"/>
    <w:rsid w:val="00B6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AD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AD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2015-04-22T07:47:00Z</dcterms:created>
  <dcterms:modified xsi:type="dcterms:W3CDTF">2015-04-22T07:47:00Z</dcterms:modified>
</cp:coreProperties>
</file>