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B387E" w:rsidP="004B387E">
      <w:pPr>
        <w:jc w:val="both"/>
      </w:pPr>
      <w:bookmarkStart w:id="0" w:name="_GoBack"/>
      <w:bookmarkEnd w:id="0"/>
      <w:r w:rsidRPr="007A2497">
        <w:t>SUMARIO:</w:t>
      </w:r>
      <w:r>
        <w:t xml:space="preserve"> </w:t>
      </w:r>
      <w:r w:rsidRPr="007A2497">
        <w:t>I. INTERESES DE DEMORA</w:t>
      </w:r>
      <w:r>
        <w:t>:</w:t>
      </w:r>
      <w:r w:rsidRPr="007A2497">
        <w:t xml:space="preserve"> 1. </w:t>
      </w:r>
      <w:r>
        <w:t>C</w:t>
      </w:r>
      <w:r w:rsidRPr="007A2497">
        <w:t xml:space="preserve">oncepto y cálculo. 2. </w:t>
      </w:r>
      <w:r>
        <w:t>L</w:t>
      </w:r>
      <w:r w:rsidRPr="007A2497">
        <w:t>ímites en los intereses de demora</w:t>
      </w:r>
      <w:proofErr w:type="gramStart"/>
      <w:r w:rsidRPr="007A2497">
        <w:t>.—</w:t>
      </w:r>
      <w:proofErr w:type="gramEnd"/>
      <w:r w:rsidRPr="007A2497">
        <w:t>II. LA EFICACIA DE LA CLÁUSULA ABUSIVA EN UN CONTRATO DE PRÉSTAMO HIPOTECARIO</w:t>
      </w:r>
      <w:r>
        <w:t>:</w:t>
      </w:r>
      <w:r w:rsidRPr="007A2497">
        <w:t xml:space="preserve"> 1. </w:t>
      </w:r>
      <w:r>
        <w:t>I</w:t>
      </w:r>
      <w:r w:rsidRPr="007A2497">
        <w:t xml:space="preserve">nterpretación doctrinal y jurisprudencial antes de la </w:t>
      </w:r>
      <w:proofErr w:type="spellStart"/>
      <w:r w:rsidRPr="007A2497">
        <w:t>STJUE</w:t>
      </w:r>
      <w:proofErr w:type="spellEnd"/>
      <w:r w:rsidRPr="007A2497">
        <w:t xml:space="preserve"> de 21 de enero de 2015. 2. </w:t>
      </w:r>
      <w:r>
        <w:t>I</w:t>
      </w:r>
      <w:r w:rsidRPr="007A2497">
        <w:t xml:space="preserve">nterpretación doctrinal y jurisprudencial después de la </w:t>
      </w:r>
      <w:proofErr w:type="spellStart"/>
      <w:r w:rsidRPr="007A2497">
        <w:t>STJUE</w:t>
      </w:r>
      <w:proofErr w:type="spellEnd"/>
      <w:r w:rsidRPr="007A2497">
        <w:t xml:space="preserve"> de 21 de enero de 2015. </w:t>
      </w:r>
      <w:r>
        <w:t>II</w:t>
      </w:r>
      <w:r w:rsidRPr="007A2497">
        <w:t>I.</w:t>
      </w:r>
      <w:r>
        <w:t xml:space="preserve"> CON</w:t>
      </w:r>
      <w:r w:rsidRPr="007A2497">
        <w:t>CLUSIONES</w:t>
      </w:r>
      <w:proofErr w:type="gramStart"/>
      <w:r w:rsidRPr="007A2497">
        <w:t>.—</w:t>
      </w:r>
      <w:proofErr w:type="gramEnd"/>
      <w:r w:rsidRPr="007A2497">
        <w:t>IV. ÍNDICE DE RESOLUCIONES CITADAS</w:t>
      </w:r>
      <w:proofErr w:type="gramStart"/>
      <w:r w:rsidRPr="007A2497">
        <w:t>.—</w:t>
      </w:r>
      <w:proofErr w:type="gramEnd"/>
      <w:r w:rsidRPr="007A2497">
        <w:t>V. BIBL</w:t>
      </w:r>
      <w:r>
        <w:t>IOGRAFÍA.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E"/>
    <w:rsid w:val="004B387E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2015-07-24T10:56:00Z</dcterms:created>
  <dcterms:modified xsi:type="dcterms:W3CDTF">2015-07-24T10:56:00Z</dcterms:modified>
</cp:coreProperties>
</file>