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1A" w:rsidRPr="00015DE7" w:rsidRDefault="00CE181A" w:rsidP="00CE181A">
      <w:pPr>
        <w:spacing w:after="0" w:line="240" w:lineRule="auto"/>
        <w:jc w:val="both"/>
        <w:rPr>
          <w:szCs w:val="17"/>
        </w:rPr>
      </w:pPr>
      <w:r w:rsidRPr="008A1F0E">
        <w:rPr>
          <w:iCs/>
          <w:szCs w:val="17"/>
        </w:rPr>
        <w:t>SUMARIO:</w:t>
      </w:r>
      <w:r>
        <w:rPr>
          <w:iCs/>
          <w:szCs w:val="17"/>
        </w:rPr>
        <w:t xml:space="preserve"> </w:t>
      </w:r>
      <w:r w:rsidRPr="00015DE7">
        <w:rPr>
          <w:szCs w:val="17"/>
        </w:rPr>
        <w:t>I. EL TRATAMIENTO JURÍDICO DE LA PROMESA DE MATRIMONIO Y LOS ESPONSALES EN EL CÓDIGO CIVIL ESPAÑOL Y SUS SUCESIVAS REDACCIONES: 1. D</w:t>
      </w:r>
      <w:r w:rsidRPr="00015DE7">
        <w:rPr>
          <w:szCs w:val="12"/>
        </w:rPr>
        <w:t xml:space="preserve">icción legal del artículo </w:t>
      </w:r>
      <w:r w:rsidRPr="00015DE7">
        <w:rPr>
          <w:szCs w:val="17"/>
        </w:rPr>
        <w:t xml:space="preserve">43 </w:t>
      </w:r>
      <w:r w:rsidRPr="00015DE7">
        <w:rPr>
          <w:szCs w:val="12"/>
        </w:rPr>
        <w:t xml:space="preserve">del </w:t>
      </w:r>
      <w:r w:rsidRPr="00015DE7">
        <w:rPr>
          <w:szCs w:val="17"/>
        </w:rPr>
        <w:t>C</w:t>
      </w:r>
      <w:r w:rsidRPr="00015DE7">
        <w:rPr>
          <w:szCs w:val="12"/>
        </w:rPr>
        <w:t xml:space="preserve">ódigo </w:t>
      </w:r>
      <w:r w:rsidRPr="00015DE7">
        <w:rPr>
          <w:szCs w:val="17"/>
        </w:rPr>
        <w:t>C</w:t>
      </w:r>
      <w:r w:rsidRPr="00015DE7">
        <w:rPr>
          <w:szCs w:val="12"/>
        </w:rPr>
        <w:t>ivil</w:t>
      </w:r>
      <w:r w:rsidRPr="00015DE7">
        <w:rPr>
          <w:szCs w:val="17"/>
        </w:rPr>
        <w:t xml:space="preserve">: </w:t>
      </w:r>
      <w:r w:rsidRPr="00015DE7">
        <w:rPr>
          <w:szCs w:val="12"/>
        </w:rPr>
        <w:t xml:space="preserve">redacción original de </w:t>
      </w:r>
      <w:r w:rsidRPr="00015DE7">
        <w:rPr>
          <w:szCs w:val="17"/>
        </w:rPr>
        <w:t xml:space="preserve">1889, </w:t>
      </w:r>
      <w:r w:rsidRPr="00015DE7">
        <w:rPr>
          <w:szCs w:val="12"/>
        </w:rPr>
        <w:t xml:space="preserve">reforma de </w:t>
      </w:r>
      <w:r w:rsidRPr="00015DE7">
        <w:rPr>
          <w:szCs w:val="17"/>
        </w:rPr>
        <w:t xml:space="preserve">1958 </w:t>
      </w:r>
      <w:r w:rsidRPr="00015DE7">
        <w:rPr>
          <w:szCs w:val="12"/>
        </w:rPr>
        <w:t xml:space="preserve">y la vigente redacción según </w:t>
      </w:r>
      <w:r w:rsidRPr="00015DE7">
        <w:rPr>
          <w:szCs w:val="17"/>
        </w:rPr>
        <w:t>L</w:t>
      </w:r>
      <w:r w:rsidRPr="00015DE7">
        <w:rPr>
          <w:szCs w:val="12"/>
        </w:rPr>
        <w:t xml:space="preserve">ey </w:t>
      </w:r>
      <w:r w:rsidRPr="00015DE7">
        <w:rPr>
          <w:szCs w:val="17"/>
        </w:rPr>
        <w:t xml:space="preserve">30/1981, </w:t>
      </w:r>
      <w:r w:rsidRPr="00015DE7">
        <w:rPr>
          <w:szCs w:val="12"/>
        </w:rPr>
        <w:t xml:space="preserve">de </w:t>
      </w:r>
      <w:r w:rsidRPr="00015DE7">
        <w:rPr>
          <w:szCs w:val="17"/>
        </w:rPr>
        <w:t xml:space="preserve">7 </w:t>
      </w:r>
      <w:r w:rsidRPr="00015DE7">
        <w:rPr>
          <w:szCs w:val="12"/>
        </w:rPr>
        <w:t>de julio</w:t>
      </w:r>
      <w:r w:rsidRPr="00015DE7">
        <w:rPr>
          <w:szCs w:val="17"/>
        </w:rPr>
        <w:t>. 2. N</w:t>
      </w:r>
      <w:r w:rsidRPr="00015DE7">
        <w:rPr>
          <w:szCs w:val="12"/>
        </w:rPr>
        <w:t xml:space="preserve">ovedades más relevantes de la reforma de </w:t>
      </w:r>
      <w:r w:rsidRPr="00015DE7">
        <w:rPr>
          <w:szCs w:val="17"/>
        </w:rPr>
        <w:t xml:space="preserve">1981: </w:t>
      </w:r>
      <w:r w:rsidRPr="00015DE7">
        <w:rPr>
          <w:szCs w:val="12"/>
        </w:rPr>
        <w:t>la ruptura sin causa</w:t>
      </w:r>
      <w:proofErr w:type="gramStart"/>
      <w:r w:rsidRPr="00015DE7">
        <w:rPr>
          <w:szCs w:val="17"/>
        </w:rPr>
        <w:t>.—</w:t>
      </w:r>
      <w:proofErr w:type="gramEnd"/>
      <w:r w:rsidRPr="00015DE7">
        <w:rPr>
          <w:szCs w:val="17"/>
        </w:rPr>
        <w:t>II. EXAMEN SOBRE LOS GASTOS HECHOS Y OBLIGACIONES CONTRAÍDAS EN CONSIDERACIÓN AL MATRIMONIO: REVISIÓN ANALÍTICA DE DOCTRINA Y RESOLUCIONES JUDICIALES: 1. L</w:t>
      </w:r>
      <w:r w:rsidRPr="00015DE7">
        <w:rPr>
          <w:szCs w:val="12"/>
        </w:rPr>
        <w:t>os gastos y obligaciones susceptibles de reembolso</w:t>
      </w:r>
      <w:r w:rsidRPr="00015DE7">
        <w:rPr>
          <w:szCs w:val="17"/>
        </w:rPr>
        <w:t xml:space="preserve">: </w:t>
      </w:r>
      <w:r w:rsidRPr="00015DE7">
        <w:rPr>
          <w:szCs w:val="12"/>
        </w:rPr>
        <w:t xml:space="preserve">el tenor literal del artículo </w:t>
      </w:r>
      <w:r w:rsidRPr="00015DE7">
        <w:rPr>
          <w:szCs w:val="17"/>
        </w:rPr>
        <w:t>43. 2. R</w:t>
      </w:r>
      <w:r w:rsidRPr="00015DE7">
        <w:rPr>
          <w:szCs w:val="12"/>
        </w:rPr>
        <w:t>eclamaciones en vía judicial</w:t>
      </w:r>
      <w:r w:rsidRPr="00015DE7">
        <w:rPr>
          <w:szCs w:val="17"/>
        </w:rPr>
        <w:t xml:space="preserve">: </w:t>
      </w:r>
      <w:r w:rsidRPr="00015DE7">
        <w:rPr>
          <w:szCs w:val="12"/>
        </w:rPr>
        <w:t>pretensiones de las partes</w:t>
      </w:r>
      <w:r w:rsidRPr="00015DE7">
        <w:rPr>
          <w:szCs w:val="17"/>
        </w:rPr>
        <w:t xml:space="preserve">: A) </w:t>
      </w:r>
      <w:r w:rsidRPr="00015DE7">
        <w:rPr>
          <w:i/>
          <w:iCs/>
          <w:szCs w:val="17"/>
        </w:rPr>
        <w:t xml:space="preserve">En el ámbito penal el delito de estupro y responsabilidad civil por la comisión del delito como indemnidad de la víctima no coincidente con el principio de restitución de la promesa matrimonial. </w:t>
      </w:r>
      <w:r w:rsidRPr="00015DE7">
        <w:rPr>
          <w:szCs w:val="17"/>
        </w:rPr>
        <w:t xml:space="preserve">B) </w:t>
      </w:r>
      <w:r w:rsidRPr="00015DE7">
        <w:rPr>
          <w:i/>
          <w:iCs/>
          <w:szCs w:val="17"/>
        </w:rPr>
        <w:t>La promesa de matrimonio no sirve de fundamento para daños y perjuicios y exclusión de los daños morales: La STS de 16 de diciembre de 1996, siendo ponente A</w:t>
      </w:r>
      <w:r w:rsidRPr="00015DE7">
        <w:rPr>
          <w:i/>
          <w:iCs/>
          <w:szCs w:val="12"/>
        </w:rPr>
        <w:t xml:space="preserve">lmagro </w:t>
      </w:r>
      <w:proofErr w:type="spellStart"/>
      <w:r w:rsidRPr="00015DE7">
        <w:rPr>
          <w:i/>
          <w:iCs/>
          <w:szCs w:val="17"/>
        </w:rPr>
        <w:t>N</w:t>
      </w:r>
      <w:r w:rsidRPr="00015DE7">
        <w:rPr>
          <w:i/>
          <w:iCs/>
          <w:szCs w:val="12"/>
        </w:rPr>
        <w:t>osete</w:t>
      </w:r>
      <w:proofErr w:type="spellEnd"/>
      <w:r w:rsidRPr="00015DE7">
        <w:rPr>
          <w:i/>
          <w:iCs/>
          <w:szCs w:val="17"/>
        </w:rPr>
        <w:t xml:space="preserve">. </w:t>
      </w:r>
      <w:r w:rsidRPr="00015DE7">
        <w:rPr>
          <w:szCs w:val="17"/>
        </w:rPr>
        <w:t xml:space="preserve">C) </w:t>
      </w:r>
      <w:r w:rsidRPr="00015DE7">
        <w:rPr>
          <w:i/>
          <w:iCs/>
          <w:szCs w:val="17"/>
        </w:rPr>
        <w:t xml:space="preserve">Las Audiencias Provinciales en vía civil y concreción de las partidas reembolsables: gastos hechos y desembolsos ya realizados por estar consumados y obligaciones contraídas o deudas todavía no satisfechas. </w:t>
      </w:r>
      <w:r w:rsidRPr="00015DE7">
        <w:rPr>
          <w:szCs w:val="17"/>
        </w:rPr>
        <w:t xml:space="preserve">D) </w:t>
      </w:r>
      <w:r w:rsidRPr="00015DE7">
        <w:rPr>
          <w:i/>
          <w:iCs/>
          <w:szCs w:val="17"/>
        </w:rPr>
        <w:t xml:space="preserve">Exclusión de los daños morales: SAP de Zaragoza, de 10 de marzo de 1999. </w:t>
      </w:r>
      <w:r w:rsidRPr="00015DE7">
        <w:rPr>
          <w:szCs w:val="17"/>
        </w:rPr>
        <w:t xml:space="preserve">E) </w:t>
      </w:r>
      <w:r w:rsidRPr="00015DE7">
        <w:rPr>
          <w:i/>
          <w:iCs/>
          <w:szCs w:val="17"/>
        </w:rPr>
        <w:t xml:space="preserve">La carga de la prueba sobre la causa del incumplimiento de la ruptura recae sobre el futuro contrayente que ha roto la promesa: la SAP de Zaragoza, de 11 de enero de 1994. </w:t>
      </w:r>
      <w:r w:rsidRPr="00015DE7">
        <w:rPr>
          <w:szCs w:val="17"/>
        </w:rPr>
        <w:t xml:space="preserve">F) </w:t>
      </w:r>
      <w:r w:rsidRPr="00015DE7">
        <w:rPr>
          <w:i/>
          <w:iCs/>
          <w:szCs w:val="17"/>
        </w:rPr>
        <w:t>Alegación ante la Audiencia del enriquecimiento injusto: la determinación de los gastos hechos en consideración al matrimonio prometido con exclusión de lucro cesante o cualquier otro</w:t>
      </w:r>
      <w:proofErr w:type="gramStart"/>
      <w:r w:rsidRPr="00015DE7">
        <w:rPr>
          <w:i/>
          <w:iCs/>
          <w:szCs w:val="17"/>
        </w:rPr>
        <w:t>.</w:t>
      </w:r>
      <w:r w:rsidRPr="00015DE7">
        <w:rPr>
          <w:szCs w:val="17"/>
        </w:rPr>
        <w:t>—</w:t>
      </w:r>
      <w:proofErr w:type="gramEnd"/>
      <w:r w:rsidRPr="00015DE7">
        <w:rPr>
          <w:szCs w:val="17"/>
        </w:rPr>
        <w:t>IV. REFLEXIONES FINALES SOBRE LOS DAÑOS ENDOFAMILIARES Y EL FUNDAMENTO DEL ARTÍCULO 43: ENTRE EMPOBRECIMIENTO SIN CAUSA, RESPONSABILIDAD CIVIL Y LA LIMITACIÓN AL RESARCIMIENTO DE GASTOS</w:t>
      </w:r>
      <w:proofErr w:type="gramStart"/>
      <w:r w:rsidRPr="00015DE7">
        <w:rPr>
          <w:szCs w:val="17"/>
        </w:rPr>
        <w:t>.—</w:t>
      </w:r>
      <w:proofErr w:type="gramEnd"/>
      <w:r w:rsidRPr="00015DE7">
        <w:rPr>
          <w:szCs w:val="17"/>
        </w:rPr>
        <w:t>V. BIBLIOGRAFÍA.— VI. ÍNDICE DE RESOLUCIONES CITADAS.</w:t>
      </w:r>
      <w:bookmarkStart w:id="0" w:name="_GoBack"/>
      <w:bookmarkEnd w:id="0"/>
    </w:p>
    <w:sectPr w:rsidR="00CE181A" w:rsidRPr="00015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A"/>
    <w:rsid w:val="00072BCA"/>
    <w:rsid w:val="00C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2013-11-27T13:22:00Z</dcterms:created>
  <dcterms:modified xsi:type="dcterms:W3CDTF">2013-11-27T13:22:00Z</dcterms:modified>
</cp:coreProperties>
</file>