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9F5E66" w:rsidP="009F5E66">
      <w:pPr>
        <w:jc w:val="both"/>
      </w:pPr>
      <w:r w:rsidRPr="00005406">
        <w:t>SUMARIO: I. PRELIMINAR</w:t>
      </w:r>
      <w:proofErr w:type="gramStart"/>
      <w:r w:rsidRPr="00005406">
        <w:t>.—</w:t>
      </w:r>
      <w:proofErr w:type="gramEnd"/>
      <w:r w:rsidRPr="00005406">
        <w:t>II. EJEMPLOS EN DONDE SE REFUTA LA NUEVA POSICIÓN JURISPRUDENCIAL Y REGISTRA</w:t>
      </w:r>
      <w:r>
        <w:t>L</w:t>
      </w:r>
      <w:r w:rsidRPr="00005406">
        <w:t xml:space="preserve">—III. LA </w:t>
      </w:r>
      <w:proofErr w:type="spellStart"/>
      <w:r w:rsidRPr="00005406">
        <w:t>CONDITIO</w:t>
      </w:r>
      <w:proofErr w:type="spellEnd"/>
      <w:r w:rsidRPr="00005406">
        <w:t xml:space="preserve"> IURIS (UNA ADVERTENCIA IMPORTANTE)</w:t>
      </w:r>
      <w:proofErr w:type="gramStart"/>
      <w:r w:rsidRPr="00005406">
        <w:t>.—</w:t>
      </w:r>
      <w:proofErr w:type="gramEnd"/>
      <w:r w:rsidRPr="00005406">
        <w:t>IV. LA ESTRUCTURA INTERNA DEL ARTÍCULO 1006 DEL CÓDIGO CIVIL</w:t>
      </w:r>
      <w:proofErr w:type="gramStart"/>
      <w:r w:rsidRPr="00005406">
        <w:t>.—</w:t>
      </w:r>
      <w:proofErr w:type="gramEnd"/>
      <w:r w:rsidRPr="00005406">
        <w:t xml:space="preserve">V. LA ACEPTACIÓN DEL </w:t>
      </w:r>
      <w:proofErr w:type="spellStart"/>
      <w:r w:rsidRPr="00005406">
        <w:t>TRANSMISARIO</w:t>
      </w:r>
      <w:proofErr w:type="spellEnd"/>
      <w:r w:rsidRPr="00005406">
        <w:t xml:space="preserve"> Y LA INVESTIDURA POST MORTEM DEL TRANSMITENTE. LA </w:t>
      </w:r>
      <w:r w:rsidRPr="00005406">
        <w:t>RETROACCIÓN</w:t>
      </w:r>
      <w:r w:rsidRPr="00005406">
        <w:t xml:space="preserve"> DE EFECTOS</w:t>
      </w:r>
      <w:proofErr w:type="gramStart"/>
      <w:r w:rsidRPr="00005406">
        <w:t>.—</w:t>
      </w:r>
      <w:proofErr w:type="gramEnd"/>
      <w:r>
        <w:t>VI. INTERPRETACIÓN SISTEMÁTICA</w:t>
      </w:r>
      <w:proofErr w:type="gramStart"/>
      <w:r>
        <w:t>.</w:t>
      </w:r>
      <w:r w:rsidRPr="00005406">
        <w:t>—</w:t>
      </w:r>
      <w:proofErr w:type="gramEnd"/>
      <w:r w:rsidRPr="00005406">
        <w:t>VII. UNA MENCIÓN A LA CUESTIÓN FISCAL</w:t>
      </w:r>
      <w:proofErr w:type="gramStart"/>
      <w:r w:rsidRPr="00005406">
        <w:t>.—</w:t>
      </w:r>
      <w:proofErr w:type="gramEnd"/>
      <w:r w:rsidRPr="00005406">
        <w:t>VIII. LA ACEPTACIÓN TACITA DEL TRANSMITENTE-</w:t>
      </w:r>
      <w:proofErr w:type="spellStart"/>
      <w:r w:rsidRPr="00005406">
        <w:t>DELADO</w:t>
      </w:r>
      <w:proofErr w:type="spellEnd"/>
      <w:r w:rsidRPr="00005406">
        <w:t>: NUEVAS ORIENTACIONES JURISPRUDENCIALES</w:t>
      </w:r>
      <w:proofErr w:type="gramStart"/>
      <w:r w:rsidRPr="00005406">
        <w:t>.—</w:t>
      </w:r>
      <w:proofErr w:type="gramEnd"/>
      <w:r w:rsidRPr="00005406">
        <w:t>IX. EPÍLOGO</w:t>
      </w:r>
      <w:r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66"/>
    <w:rsid w:val="004C08CB"/>
    <w:rsid w:val="009F5E66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2015-07-24T10:59:00Z</dcterms:created>
  <dcterms:modified xsi:type="dcterms:W3CDTF">2015-07-24T10:59:00Z</dcterms:modified>
</cp:coreProperties>
</file>