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CE6CA8" w:rsidRDefault="00CE6CA8" w:rsidP="00CE6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SUMARIO: </w:t>
      </w:r>
      <w:r w:rsidRPr="007A7209">
        <w:rPr>
          <w:rFonts w:ascii="Times New Roman" w:hAnsi="Times New Roman" w:cs="Times New Roman"/>
          <w:sz w:val="24"/>
          <w:szCs w:val="24"/>
        </w:rPr>
        <w:t>I. LA TÁCITA DEROGACIÓN DEL REAL DECRETO-LEY 27/2012,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DE 15 DE NOVIEMBRE Y EL CAPÍTULO I DE LA LEY ANTI-DESAHUCIOS,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REGULADOR DE LA SUSPENSIÓN DE LOS LANZAMIENTOS</w:t>
      </w:r>
      <w:proofErr w:type="gramStart"/>
      <w:r w:rsidRPr="007A720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>II. NOVEDADES INTRODUCIDAS POR EL CAPÍTULO I DE LA LEY ANTIDESAHUCIOS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Y PRECEPTOS CONCORDANTES: 1. Ámbito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temporal. 2. Ámbito de aplicación personal. 3. D</w:t>
      </w:r>
      <w:r>
        <w:rPr>
          <w:rFonts w:ascii="Times New Roman" w:hAnsi="Times New Roman" w:cs="Times New Roman"/>
          <w:sz w:val="24"/>
          <w:szCs w:val="24"/>
        </w:rPr>
        <w:t>eclaración exp</w:t>
      </w:r>
      <w:r w:rsidRPr="007A7209">
        <w:rPr>
          <w:rFonts w:ascii="Times New Roman" w:hAnsi="Times New Roman" w:cs="Times New Roman"/>
          <w:sz w:val="24"/>
          <w:szCs w:val="24"/>
        </w:rPr>
        <w:t>resa de la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suspensión de la ejecución ordinaria posterior e intereses moratorios reclamables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en esta para el caso de deudor especialmente vulnerable. 4. El fondo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de viviendas</w:t>
      </w:r>
      <w:proofErr w:type="gramStart"/>
      <w:r w:rsidRPr="007A720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>III. CONCLUSIONES</w:t>
      </w:r>
      <w:proofErr w:type="gramStart"/>
      <w:r w:rsidRPr="007A720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>IV. ÍNDICE DE RESOLUCIONES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CITADAS</w:t>
      </w:r>
      <w:proofErr w:type="gramStart"/>
      <w:r w:rsidRPr="007A720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>V. BIBLIOGRAFÍA.</w:t>
      </w:r>
      <w:bookmarkStart w:id="0" w:name="_GoBack"/>
      <w:bookmarkEnd w:id="0"/>
    </w:p>
    <w:sectPr w:rsidR="004C08CB" w:rsidRPr="00CE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A8"/>
    <w:rsid w:val="004C08CB"/>
    <w:rsid w:val="00C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2014-05-13T10:46:00Z</dcterms:created>
  <dcterms:modified xsi:type="dcterms:W3CDTF">2014-05-13T10:46:00Z</dcterms:modified>
</cp:coreProperties>
</file>