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D2" w:rsidRDefault="00734C79" w:rsidP="00734C7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SUMARIO: </w:t>
      </w:r>
      <w:r w:rsidRPr="000D266C">
        <w:t>I. PLANTEAMIENTO DE LA CUESTIÓN</w:t>
      </w:r>
      <w:proofErr w:type="gramStart"/>
      <w:r w:rsidRPr="000D266C">
        <w:t>.—</w:t>
      </w:r>
      <w:proofErr w:type="gramEnd"/>
      <w:r w:rsidRPr="000D266C">
        <w:t>II. LA</w:t>
      </w:r>
      <w:r>
        <w:t xml:space="preserve"> </w:t>
      </w:r>
      <w:r w:rsidRPr="000D266C">
        <w:t>SENTENCIA DEL TJUE, DE 14 DE JUNIO DE 2012</w:t>
      </w:r>
      <w:proofErr w:type="gramStart"/>
      <w:r w:rsidRPr="000D266C">
        <w:t>.—</w:t>
      </w:r>
      <w:proofErr w:type="gramEnd"/>
      <w:r w:rsidRPr="000D266C">
        <w:t>III. LA SENTENCIA</w:t>
      </w:r>
      <w:r>
        <w:t xml:space="preserve"> </w:t>
      </w:r>
      <w:r w:rsidRPr="000D266C">
        <w:t>DEL TJUE, DE 14 DE MARZO DE 2013</w:t>
      </w:r>
      <w:proofErr w:type="gramStart"/>
      <w:r w:rsidRPr="000D266C">
        <w:t>.—</w:t>
      </w:r>
      <w:proofErr w:type="gramEnd"/>
      <w:r w:rsidRPr="000D266C">
        <w:t>IV. LA SENTENCIA</w:t>
      </w:r>
      <w:r>
        <w:t xml:space="preserve"> </w:t>
      </w:r>
      <w:r w:rsidRPr="000D266C">
        <w:t>DEL TRIBUNAL SUPREMO, DE 9 DE MAYO DE 2013</w:t>
      </w:r>
      <w:proofErr w:type="gramStart"/>
      <w:r w:rsidRPr="000D266C">
        <w:t>.—</w:t>
      </w:r>
      <w:proofErr w:type="gramEnd"/>
      <w:r w:rsidRPr="000D266C">
        <w:t>V. LA LEY</w:t>
      </w:r>
      <w:r>
        <w:t xml:space="preserve"> </w:t>
      </w:r>
      <w:r w:rsidRPr="000D266C">
        <w:t>1/2013, DE 14 DE MAYO.—VI. EVOLUCIÓN DE LA DOCTRINA DE LA</w:t>
      </w:r>
      <w:r>
        <w:t xml:space="preserve"> </w:t>
      </w:r>
      <w:r w:rsidRPr="000D266C">
        <w:t>DGRN EN MATERIA DE CLÁUSULAS ABUSIVAS</w:t>
      </w:r>
      <w:proofErr w:type="gramStart"/>
      <w:r w:rsidRPr="000D266C">
        <w:t>.—</w:t>
      </w:r>
      <w:proofErr w:type="gramEnd"/>
      <w:r w:rsidRPr="000D266C">
        <w:t>VII. CLÁUSULAS</w:t>
      </w:r>
      <w:r>
        <w:t xml:space="preserve"> </w:t>
      </w:r>
      <w:r w:rsidRPr="000D266C">
        <w:t>ABUSIVAS EN LOS PRÉSTAMOS HIPOTECARIOS CALIFICABLES</w:t>
      </w:r>
      <w:r>
        <w:t xml:space="preserve"> </w:t>
      </w:r>
      <w:r w:rsidRPr="000D266C">
        <w:t>POR EL REGISTRADOR</w:t>
      </w:r>
      <w:proofErr w:type="gramStart"/>
      <w:r w:rsidRPr="000D266C">
        <w:t>.—</w:t>
      </w:r>
      <w:proofErr w:type="gramEnd"/>
      <w:r w:rsidRPr="000D266C">
        <w:t>VIII. VALIDEZ DEL SISTEMA HIPOTECARIO</w:t>
      </w:r>
      <w:r>
        <w:t xml:space="preserve"> </w:t>
      </w:r>
      <w:r w:rsidRPr="000D266C">
        <w:t>ESPAÑOL.</w:t>
      </w:r>
      <w:bookmarkStart w:id="0" w:name="_GoBack"/>
      <w:bookmarkEnd w:id="0"/>
    </w:p>
    <w:sectPr w:rsidR="00113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79"/>
    <w:rsid w:val="001135D2"/>
    <w:rsid w:val="0073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79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79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2014-04-11T08:41:00Z</dcterms:created>
  <dcterms:modified xsi:type="dcterms:W3CDTF">2014-04-11T08:42:00Z</dcterms:modified>
</cp:coreProperties>
</file>