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6258B8" w:rsidRDefault="006258B8" w:rsidP="00625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2D">
        <w:rPr>
          <w:rFonts w:ascii="Times New Roman" w:hAnsi="Times New Roman" w:cs="Times New Roman"/>
          <w:sz w:val="24"/>
          <w:szCs w:val="24"/>
        </w:rPr>
        <w:t xml:space="preserve">SUMARIO: I. FAMILIA  Y DOMICILIO E INTIMIDAD PERSONAL Y FAMILIAR: LA PERTURBACIÓN DE LA PAZ SOCIAL EN EL HOGAR Y EN LAS RELACIONES VECINALES: 1. Planteamiento: el artículo 18 versus el artículo 47 de la CE: de derecho a principio. 2. El fenómeno del </w:t>
      </w:r>
      <w:proofErr w:type="spellStart"/>
      <w:r w:rsidRPr="005D022D">
        <w:rPr>
          <w:rFonts w:ascii="Times New Roman" w:hAnsi="Times New Roman" w:cs="Times New Roman"/>
          <w:sz w:val="24"/>
          <w:szCs w:val="24"/>
        </w:rPr>
        <w:t>Blockbusting</w:t>
      </w:r>
      <w:proofErr w:type="spellEnd"/>
      <w:r w:rsidRPr="005D022D">
        <w:rPr>
          <w:rFonts w:ascii="Times New Roman" w:hAnsi="Times New Roman" w:cs="Times New Roman"/>
          <w:sz w:val="24"/>
          <w:szCs w:val="24"/>
        </w:rPr>
        <w:t xml:space="preserve"> en los Estados Unidos: prácticas ilegales inmobiliarias y movimientos de población</w:t>
      </w:r>
      <w:proofErr w:type="gramStart"/>
      <w:r w:rsidRPr="005D022D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5D022D">
        <w:rPr>
          <w:rFonts w:ascii="Times New Roman" w:hAnsi="Times New Roman" w:cs="Times New Roman"/>
          <w:sz w:val="24"/>
          <w:szCs w:val="24"/>
        </w:rPr>
        <w:t xml:space="preserve"> II. DE LAS  CONDUCTAS CALIFICADAS COMO COACCIONES O ATENTADOS A LA INTEGRIDAD MORAL A LA TIPIFICACIÓN EXPRESA DEL «ACOSO INMOBILIARIO» EN NUESTRO CÓDIGO PENAL: 1. La inicial tipificación y la responsabilidad aparejada a la comisión del delito o falta: el asunto Casa </w:t>
      </w:r>
      <w:proofErr w:type="spellStart"/>
      <w:r w:rsidRPr="005D022D">
        <w:rPr>
          <w:rFonts w:ascii="Times New Roman" w:hAnsi="Times New Roman" w:cs="Times New Roman"/>
          <w:sz w:val="24"/>
          <w:szCs w:val="24"/>
        </w:rPr>
        <w:t>Tangora</w:t>
      </w:r>
      <w:proofErr w:type="spellEnd"/>
      <w:r w:rsidRPr="005D02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2D">
        <w:rPr>
          <w:rFonts w:ascii="Times New Roman" w:hAnsi="Times New Roman" w:cs="Times New Roman"/>
          <w:sz w:val="24"/>
          <w:szCs w:val="24"/>
        </w:rPr>
        <w:t>Getxo</w:t>
      </w:r>
      <w:proofErr w:type="spellEnd"/>
      <w:r w:rsidRPr="005D022D">
        <w:rPr>
          <w:rFonts w:ascii="Times New Roman" w:hAnsi="Times New Roman" w:cs="Times New Roman"/>
          <w:sz w:val="24"/>
          <w:szCs w:val="24"/>
        </w:rPr>
        <w:t xml:space="preserve"> (Vizcaya). 2. Otros supuestos relevantes: AAP de Madrid, de 11 de octubre de 2012</w:t>
      </w:r>
      <w:proofErr w:type="gramStart"/>
      <w:r w:rsidRPr="005D022D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5D022D">
        <w:rPr>
          <w:rFonts w:ascii="Times New Roman" w:hAnsi="Times New Roman" w:cs="Times New Roman"/>
          <w:sz w:val="24"/>
          <w:szCs w:val="24"/>
        </w:rPr>
        <w:t>III. REVISIÓN DE LAS RESOLUCIONES JUDICIALES DE JUZGADOS Y APELACIÓN EN AP</w:t>
      </w:r>
      <w:proofErr w:type="gramStart"/>
      <w:r w:rsidRPr="005D022D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5D022D">
        <w:rPr>
          <w:rFonts w:ascii="Times New Roman" w:hAnsi="Times New Roman" w:cs="Times New Roman"/>
          <w:sz w:val="24"/>
          <w:szCs w:val="24"/>
        </w:rPr>
        <w:t>IV. REFLEXIONES FINALES: EL HOGAR Y EL DOMICILIO BASE DE LA FAMILIA Y DE SU INTIMIDAD PERSONAL Y FAMILIAR</w:t>
      </w:r>
      <w:proofErr w:type="gramStart"/>
      <w:r w:rsidRPr="005D022D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5D022D">
        <w:rPr>
          <w:rFonts w:ascii="Times New Roman" w:hAnsi="Times New Roman" w:cs="Times New Roman"/>
          <w:sz w:val="24"/>
          <w:szCs w:val="24"/>
        </w:rPr>
        <w:t>V. BIBLIOGRAFÍA.—VI. ÍNDICE DE RESOLUCIONES JUDICIALES CITADAS.</w:t>
      </w:r>
      <w:bookmarkStart w:id="0" w:name="_GoBack"/>
      <w:bookmarkEnd w:id="0"/>
    </w:p>
    <w:sectPr w:rsidR="00072BCA" w:rsidRPr="00625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B8"/>
    <w:rsid w:val="00072BCA"/>
    <w:rsid w:val="006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B8"/>
    <w:rPr>
      <w:rFonts w:asciiTheme="minorHAnsi" w:eastAsiaTheme="minorEastAsia" w:hAnsiTheme="minorHAnsi" w:cstheme="minorBidi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B8"/>
    <w:rPr>
      <w:rFonts w:asciiTheme="minorHAnsi" w:eastAsiaTheme="minorEastAsia" w:hAnsiTheme="minorHAnsi" w:cstheme="minorBidi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2013-08-23T09:50:00Z</dcterms:created>
  <dcterms:modified xsi:type="dcterms:W3CDTF">2013-08-23T09:51:00Z</dcterms:modified>
</cp:coreProperties>
</file>